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sz w:val="32"/>
          <w:szCs w:val="32"/>
        </w:rPr>
        <w:t xml:space="preserve">MindLine</w:t>
      </w:r>
    </w:p>
    <w:p>
      <w:pPr>
        <w:spacing w:after="20"/>
        <w:jc w:val="center"/>
      </w:pPr>
      <w:r>
        <w:rPr>
          <w:rFonts w:ascii="Arial" w:cs="Arial" w:eastAsia="Arial" w:hAnsi="Arial"/>
          <w:b/>
          <w:bCs/>
          <w:sz w:val="26"/>
          <w:szCs w:val="26"/>
        </w:rPr>
        <w:t xml:space="preserve">Technical Addendum: Engagement Loop, Reminders and Institution-Agnostic Config</w:t>
      </w:r>
    </w:p>
    <w:p>
      <w:pPr>
        <w:spacing w:after="220"/>
        <w:jc w:val="center"/>
      </w:pPr>
      <w:r>
        <w:rPr>
          <w:rFonts w:ascii="Arial" w:cs="Arial" w:eastAsia="Arial" w:hAnsi="Arial"/>
          <w:i/>
          <w:iCs/>
          <w:sz w:val="22"/>
          <w:szCs w:val="22"/>
        </w:rPr>
        <w:t xml:space="preserve">For Amwine (Technical Lead), following facilitator feedback at pitch practice</w:t>
      </w:r>
    </w:p>
    <w:p>
      <w:pPr>
        <w:spacing w:after="110" w:line="264"/>
      </w:pPr>
      <w:r>
        <w:rPr>
          <w:rFonts w:ascii="Arial" w:cs="Arial" w:eastAsia="Arial" w:hAnsi="Arial"/>
          <w:b w:val="false"/>
          <w:bCs w:val="false"/>
          <w:i/>
          <w:iCs/>
          <w:sz w:val="22"/>
          <w:szCs w:val="22"/>
        </w:rPr>
        <w:t xml:space="preserve">This is an addition to the existing tech brief, not a replacement. It covers four specific points raised by a facilitator at today's pitch practice. Where something is a genuine architecture change, it is marked BUILD NOW. Where it is a smaller config or copy change, it is marked QUICK FIX.</w:t>
      </w:r>
    </w:p>
    <w:p>
      <w:pPr>
        <w:pBdr>
          <w:top w:val="single" w:color="999999" w:sz="6"/>
        </w:pBdr>
        <w:spacing w:after="200" w:before="200"/>
      </w:pPr>
    </w:p>
    <w:p>
      <w:pPr>
        <w:pStyle w:val="Heading1"/>
        <w:spacing w:after="100" w:before="280"/>
      </w:pPr>
      <w:r>
        <w:rPr>
          <w:rFonts w:ascii="Arial" w:cs="Arial" w:eastAsia="Arial" w:hAnsi="Arial"/>
          <w:b/>
          <w:bCs/>
        </w:rPr>
        <w:t xml:space="preserve">1. Institution-Agnostic Configuration</w:t>
      </w:r>
    </w:p>
    <w:p>
      <w:pPr>
        <w:spacing w:after="100" w:before="40"/>
      </w:pPr>
      <w:r>
        <w:rPr>
          <w:rFonts w:ascii="Arial" w:cs="Arial" w:eastAsia="Arial" w:hAnsi="Arial"/>
          <w:b/>
          <w:bCs/>
          <w:caps/>
          <w:color w:val="1F8A44"/>
          <w:sz w:val="18"/>
          <w:szCs w:val="18"/>
        </w:rPr>
        <w:t xml:space="preserve">QUICK FIX</w:t>
      </w:r>
    </w:p>
    <w:p>
      <w:pPr>
        <w:spacing w:after="110" w:line="264"/>
      </w:pPr>
      <w:r>
        <w:rPr>
          <w:rFonts w:ascii="Arial" w:cs="Arial" w:eastAsia="Arial" w:hAnsi="Arial"/>
          <w:b w:val="false"/>
          <w:bCs w:val="false"/>
          <w:i w:val="false"/>
          <w:iCs w:val="false"/>
          <w:sz w:val="22"/>
          <w:szCs w:val="22"/>
        </w:rPr>
        <w:t xml:space="preserve">Feedback: the deck and product should not read as a MUST-only tool, since the actual plan is to license MindLine to other universities from Year 2. This does not require new architecture. It requires that nothing in the codebase or UI hardcodes “MUST” where it should instead read from configuration.</w:t>
      </w:r>
    </w:p>
    <w:p>
      <w:pPr>
        <w:pStyle w:val="ListParagraph"/>
        <w:numPr>
          <w:ilvl w:val="0"/>
          <w:numId w:val="2"/>
        </w:numPr>
        <w:spacing w:after="60" w:line="264"/>
      </w:pPr>
      <w:r>
        <w:rPr>
          <w:rFonts w:ascii="Arial" w:cs="Arial" w:eastAsia="Arial" w:hAnsi="Arial"/>
          <w:b w:val="false"/>
          <w:bCs w:val="false"/>
          <w:sz w:val="22"/>
          <w:szCs w:val="22"/>
        </w:rPr>
        <w:t xml:space="preserve">Audit the prototype for any hardcoded institution name, logo, or contact details (e.g. counselling unit email, urgent-help contact) and move these into a single config object per institution.</w:t>
      </w:r>
    </w:p>
    <w:p>
      <w:pPr>
        <w:pStyle w:val="ListParagraph"/>
        <w:numPr>
          <w:ilvl w:val="0"/>
          <w:numId w:val="2"/>
        </w:numPr>
        <w:spacing w:after="60" w:line="264"/>
      </w:pPr>
      <w:r>
        <w:rPr>
          <w:rFonts w:ascii="Arial" w:cs="Arial" w:eastAsia="Arial" w:hAnsi="Arial"/>
          <w:b w:val="false"/>
          <w:bCs w:val="false"/>
          <w:sz w:val="22"/>
          <w:szCs w:val="22"/>
        </w:rPr>
        <w:t xml:space="preserve">The demo can still be branded and configured for MUST specifically. The point is that switching institutions should be a config change, not a code change.</w:t>
      </w:r>
    </w:p>
    <w:p>
      <w:pPr>
        <w:pStyle w:val="ListParagraph"/>
        <w:numPr>
          <w:ilvl w:val="0"/>
          <w:numId w:val="2"/>
        </w:numPr>
        <w:spacing w:after="60" w:line="264"/>
      </w:pPr>
      <w:r>
        <w:rPr>
          <w:rFonts w:ascii="Arial" w:cs="Arial" w:eastAsia="Arial" w:hAnsi="Arial"/>
          <w:b w:val="false"/>
          <w:bCs w:val="false"/>
          <w:sz w:val="22"/>
          <w:szCs w:val="22"/>
        </w:rPr>
        <w:t xml:space="preserve">No need to build actual multi-tenant infrastructure for the pitch. Just make sure the prototype does not visibly assume MUST is the only possible deployment.</w:t>
      </w:r>
    </w:p>
    <w:p>
      <w:pPr>
        <w:pBdr>
          <w:top w:val="single" w:color="999999" w:sz="6"/>
        </w:pBdr>
        <w:spacing w:after="200" w:before="200"/>
      </w:pPr>
    </w:p>
    <w:p>
      <w:pPr>
        <w:pStyle w:val="Heading1"/>
        <w:spacing w:after="100" w:before="280"/>
      </w:pPr>
      <w:r>
        <w:rPr>
          <w:rFonts w:ascii="Arial" w:cs="Arial" w:eastAsia="Arial" w:hAnsi="Arial"/>
          <w:b/>
          <w:bCs/>
        </w:rPr>
        <w:t xml:space="preserve">2. New Module: Structured Engagement and Follow-Up Loop</w:t>
      </w:r>
    </w:p>
    <w:p>
      <w:pPr>
        <w:spacing w:after="100" w:before="40"/>
      </w:pPr>
      <w:r>
        <w:rPr>
          <w:rFonts w:ascii="Arial" w:cs="Arial" w:eastAsia="Arial" w:hAnsi="Arial"/>
          <w:b/>
          <w:bCs/>
          <w:caps/>
          <w:color w:val="1F8A44"/>
          <w:sz w:val="18"/>
          <w:szCs w:val="18"/>
        </w:rPr>
        <w:t xml:space="preserve">BUILD NOW — highest priority of this addendum</w:t>
      </w:r>
    </w:p>
    <w:p>
      <w:pPr>
        <w:spacing w:after="110" w:line="264"/>
      </w:pPr>
      <w:r>
        <w:rPr>
          <w:rFonts w:ascii="Arial" w:cs="Arial" w:eastAsia="Arial" w:hAnsi="Arial"/>
          <w:b w:val="false"/>
          <w:bCs w:val="false"/>
          <w:i w:val="false"/>
          <w:iCs w:val="false"/>
          <w:sz w:val="22"/>
          <w:szCs w:val="22"/>
        </w:rPr>
        <w:t xml:space="preserve">This directly strengthens the clinical credibility of the pattern logic and closes a real gap: right now, the system flags a pattern but has no way of knowing whether the recommended next step actually happened. This is one connected feature, described in three parts below.</w:t>
      </w:r>
    </w:p>
    <w:p>
      <w:pPr>
        <w:pStyle w:val="Heading2"/>
        <w:spacing w:after="80" w:before="160"/>
      </w:pPr>
      <w:r>
        <w:rPr>
          <w:rFonts w:ascii="Arial" w:cs="Arial" w:eastAsia="Arial" w:hAnsi="Arial"/>
          <w:b/>
          <w:bCs/>
        </w:rPr>
        <w:t xml:space="preserve">2.1 Delayed re-check nudge after an extreme negative answer</w:t>
      </w:r>
    </w:p>
    <w:p>
      <w:pPr>
        <w:spacing w:after="110" w:line="264"/>
      </w:pPr>
      <w:r>
        <w:rPr>
          <w:rFonts w:ascii="Arial" w:cs="Arial" w:eastAsia="Arial" w:hAnsi="Arial"/>
          <w:b w:val="false"/>
          <w:bCs w:val="false"/>
          <w:i w:val="false"/>
          <w:iCs w:val="false"/>
          <w:sz w:val="22"/>
          <w:szCs w:val="22"/>
        </w:rPr>
        <w:t xml:space="preserve">If a student answers at the most negative end of any check-in question (for example “Really bad” on sleep, or “Really struggling” on appetite), do not wait for the next scheduled check-in. Schedule a single, gentle follow-up nudge after a defined interval (suggest 24 to 48 hours, confirm exact timing with the Clinical Lead).</w:t>
      </w:r>
    </w:p>
    <w:p>
      <w:pPr>
        <w:pStyle w:val="ListParagraph"/>
        <w:numPr>
          <w:ilvl w:val="0"/>
          <w:numId w:val="2"/>
        </w:numPr>
        <w:spacing w:after="60" w:line="264"/>
      </w:pPr>
      <w:r>
        <w:rPr>
          <w:rFonts w:ascii="Arial" w:cs="Arial" w:eastAsia="Arial" w:hAnsi="Arial"/>
          <w:b w:val="false"/>
          <w:bCs w:val="false"/>
          <w:sz w:val="22"/>
          <w:szCs w:val="22"/>
        </w:rPr>
        <w:t xml:space="preserve">Nudge copy should be plain and non-alarming, for example: “Hi, just checking in. Are you still feeling that way?”</w:t>
      </w:r>
    </w:p>
    <w:p>
      <w:pPr>
        <w:pStyle w:val="ListParagraph"/>
        <w:numPr>
          <w:ilvl w:val="0"/>
          <w:numId w:val="2"/>
        </w:numPr>
        <w:spacing w:after="60" w:line="264"/>
      </w:pPr>
      <w:r>
        <w:rPr>
          <w:rFonts w:ascii="Arial" w:cs="Arial" w:eastAsia="Arial" w:hAnsi="Arial"/>
          <w:b w:val="false"/>
          <w:bCs w:val="false"/>
          <w:sz w:val="22"/>
          <w:szCs w:val="22"/>
        </w:rPr>
        <w:t xml:space="preserve">This nudge is a push notification tied to the same anonymous device token. It never requires a phone number or identity.</w:t>
      </w:r>
    </w:p>
    <w:p>
      <w:pPr>
        <w:pStyle w:val="ListParagraph"/>
        <w:numPr>
          <w:ilvl w:val="0"/>
          <w:numId w:val="2"/>
        </w:numPr>
        <w:spacing w:after="60" w:line="264"/>
      </w:pPr>
      <w:r>
        <w:rPr>
          <w:rFonts w:ascii="Arial" w:cs="Arial" w:eastAsia="Arial" w:hAnsi="Arial"/>
          <w:b w:val="false"/>
          <w:bCs w:val="false"/>
          <w:sz w:val="22"/>
          <w:szCs w:val="22"/>
        </w:rPr>
        <w:t xml:space="preserve">The response to this nudge feeds into the same pattern logic as a normal check-in. It does not need to be a separate data type.</w:t>
      </w:r>
    </w:p>
    <w:p>
      <w:pPr>
        <w:pStyle w:val="Heading2"/>
        <w:spacing w:after="80" w:before="160"/>
      </w:pPr>
      <w:r>
        <w:rPr>
          <w:rFonts w:ascii="Arial" w:cs="Arial" w:eastAsia="Arial" w:hAnsi="Arial"/>
          <w:b/>
          <w:bCs/>
        </w:rPr>
        <w:t xml:space="preserve">2.2 Post-referral confirmation loop, both sides</w:t>
      </w:r>
    </w:p>
    <w:p>
      <w:pPr>
        <w:spacing w:after="110" w:line="264"/>
      </w:pPr>
      <w:r>
        <w:rPr>
          <w:rFonts w:ascii="Arial" w:cs="Arial" w:eastAsia="Arial" w:hAnsi="Arial"/>
          <w:b w:val="false"/>
          <w:bCs w:val="false"/>
          <w:i w:val="false"/>
          <w:iCs w:val="false"/>
          <w:sz w:val="22"/>
          <w:szCs w:val="22"/>
        </w:rPr>
        <w:t xml:space="preserve">Once the system has flagged a pattern and the student has been shown a recommendation to reach out to (or be contacted by) a counsellor, two independent confirmations should be tracked:</w:t>
      </w:r>
    </w:p>
    <w:p>
      <w:pPr>
        <w:pStyle w:val="ListParagraph"/>
        <w:numPr>
          <w:ilvl w:val="0"/>
          <w:numId w:val="2"/>
        </w:numPr>
        <w:spacing w:after="60" w:line="264"/>
      </w:pPr>
      <w:r>
        <w:rPr>
          <w:rFonts w:ascii="Arial" w:cs="Arial" w:eastAsia="Arial" w:hAnsi="Arial"/>
          <w:b w:val="false"/>
          <w:bCs w:val="false"/>
          <w:sz w:val="22"/>
          <w:szCs w:val="22"/>
        </w:rPr>
        <w:t xml:space="preserve">Student self-report: a follow-up prompt asking the student directly, “Did you reach out, or were you contacted by a counsellor?” with a simple Yes or No response.</w:t>
      </w:r>
    </w:p>
    <w:p>
      <w:pPr>
        <w:pStyle w:val="ListParagraph"/>
        <w:numPr>
          <w:ilvl w:val="0"/>
          <w:numId w:val="2"/>
        </w:numPr>
        <w:spacing w:after="60" w:line="264"/>
      </w:pPr>
      <w:r>
        <w:rPr>
          <w:rFonts w:ascii="Arial" w:cs="Arial" w:eastAsia="Arial" w:hAnsi="Arial"/>
          <w:b w:val="false"/>
          <w:bCs w:val="false"/>
          <w:sz w:val="22"/>
          <w:szCs w:val="22"/>
        </w:rPr>
        <w:t xml:space="preserve">Counsellor log: on the dashboard, the counsellor marks whether they made contact for that anonymised case, most likely already covered by the existing status field seen in the dashboard mockups (New, Reviewed, Contacted). Confirm this field structure with Amwine's existing dashboard build before adding anything new.</w:t>
      </w:r>
    </w:p>
    <w:p>
      <w:pPr>
        <w:pStyle w:val="ListParagraph"/>
        <w:numPr>
          <w:ilvl w:val="0"/>
          <w:numId w:val="2"/>
        </w:numPr>
        <w:spacing w:after="60" w:line="264"/>
      </w:pPr>
      <w:r>
        <w:rPr>
          <w:rFonts w:ascii="Arial" w:cs="Arial" w:eastAsia="Arial" w:hAnsi="Arial"/>
          <w:b w:val="false"/>
          <w:bCs w:val="false"/>
          <w:sz w:val="22"/>
          <w:szCs w:val="22"/>
        </w:rPr>
        <w:t xml:space="preserve">These two data points are stored and reported separately. Do not merge them into a single status. A student saying “No, not reached” and a counsellor log saying “Contacted” are both valid, independent signals and may legitimately disagree.</w:t>
      </w:r>
    </w:p>
    <w:p>
      <w:pPr>
        <w:pStyle w:val="Heading2"/>
        <w:spacing w:after="80" w:before="160"/>
      </w:pPr>
      <w:r>
        <w:rPr>
          <w:rFonts w:ascii="Arial" w:cs="Arial" w:eastAsia="Arial" w:hAnsi="Arial"/>
          <w:b/>
          <w:bCs/>
        </w:rPr>
        <w:t xml:space="preserve">2.3 Aggregate reporting to the counsellor dashboard</w:t>
      </w:r>
    </w:p>
    <w:p>
      <w:pPr>
        <w:spacing w:after="110" w:line="264"/>
      </w:pPr>
      <w:r>
        <w:rPr>
          <w:rFonts w:ascii="Arial" w:cs="Arial" w:eastAsia="Arial" w:hAnsi="Arial"/>
          <w:b w:val="false"/>
          <w:bCs w:val="false"/>
          <w:i w:val="false"/>
          <w:iCs w:val="false"/>
          <w:sz w:val="22"/>
          <w:szCs w:val="22"/>
        </w:rPr>
        <w:t xml:space="preserve">Add a summary view, or a filter on the existing dashboard, showing cases where the student's self-report and the counsellor's log disagree (for example: student says not reached, counsellor log says contacted). This is not for penalising anyone. It is a visibility and quality signal for the counselling team to review.</w:t>
      </w:r>
    </w:p>
    <w:p>
      <w:pPr>
        <w:pStyle w:val="ListParagraph"/>
        <w:numPr>
          <w:ilvl w:val="0"/>
          <w:numId w:val="2"/>
        </w:numPr>
        <w:spacing w:after="60" w:line="264"/>
      </w:pPr>
      <w:r>
        <w:rPr>
          <w:rFonts w:ascii="Arial" w:cs="Arial" w:eastAsia="Arial" w:hAnsi="Arial"/>
          <w:b w:val="false"/>
          <w:bCs w:val="false"/>
          <w:sz w:val="22"/>
          <w:szCs w:val="22"/>
        </w:rPr>
        <w:t xml:space="preserve">Suggested labels: “Confirmed reached”, “Student reports not reached”, “Awaiting student confirmation”.</w:t>
      </w:r>
    </w:p>
    <w:p>
      <w:pPr>
        <w:pStyle w:val="ListParagraph"/>
        <w:numPr>
          <w:ilvl w:val="0"/>
          <w:numId w:val="2"/>
        </w:numPr>
        <w:spacing w:after="60" w:line="264"/>
      </w:pPr>
      <w:r>
        <w:rPr>
          <w:rFonts w:ascii="Arial" w:cs="Arial" w:eastAsia="Arial" w:hAnsi="Arial"/>
          <w:b w:val="false"/>
          <w:bCs w:val="false"/>
          <w:sz w:val="22"/>
          <w:szCs w:val="22"/>
        </w:rPr>
        <w:t xml:space="preserve">Keep this as a simple filtered list for the prototype stage. A dedicated analytics view is a later-stage feature, not needed for the pitch.</w:t>
      </w:r>
    </w:p>
    <w:p>
      <w:pPr>
        <w:pBdr>
          <w:top w:val="single" w:color="999999" w:sz="6"/>
        </w:pBdr>
        <w:spacing w:after="200" w:before="200"/>
      </w:pPr>
    </w:p>
    <w:p>
      <w:pPr>
        <w:pStyle w:val="Heading1"/>
        <w:spacing w:after="100" w:before="280"/>
      </w:pPr>
      <w:r>
        <w:rPr>
          <w:rFonts w:ascii="Arial" w:cs="Arial" w:eastAsia="Arial" w:hAnsi="Arial"/>
          <w:b/>
          <w:bCs/>
        </w:rPr>
        <w:t xml:space="preserve">3. Reminder Cadence for Reliable Pattern Detection</w:t>
      </w:r>
    </w:p>
    <w:p>
      <w:pPr>
        <w:spacing w:after="100" w:before="40"/>
      </w:pPr>
      <w:r>
        <w:rPr>
          <w:rFonts w:ascii="Arial" w:cs="Arial" w:eastAsia="Arial" w:hAnsi="Arial"/>
          <w:b/>
          <w:bCs/>
          <w:caps/>
          <w:color w:val="1F8A44"/>
          <w:sz w:val="18"/>
          <w:szCs w:val="18"/>
        </w:rPr>
        <w:t xml:space="preserve">BUILD NOW</w:t>
      </w:r>
    </w:p>
    <w:p>
      <w:pPr>
        <w:spacing w:after="110" w:line="264"/>
      </w:pPr>
      <w:r>
        <w:rPr>
          <w:rFonts w:ascii="Arial" w:cs="Arial" w:eastAsia="Arial" w:hAnsi="Arial"/>
          <w:b w:val="false"/>
          <w:bCs w:val="false"/>
          <w:i w:val="false"/>
          <w:iCs w:val="false"/>
          <w:sz w:val="22"/>
          <w:szCs w:val="22"/>
        </w:rPr>
        <w:t xml:space="preserve">Feedback: three check-ins spread randomly over a week (or longer, if purely student-initiated) do not represent a reliable, comparable pattern. The fix is a scheduled re-engagement reminder, separate from the extreme-answer nudge described above.</w:t>
      </w:r>
    </w:p>
    <w:p>
      <w:pPr>
        <w:pStyle w:val="ListParagraph"/>
        <w:numPr>
          <w:ilvl w:val="0"/>
          <w:numId w:val="2"/>
        </w:numPr>
        <w:spacing w:after="60" w:line="264"/>
      </w:pPr>
      <w:r>
        <w:rPr>
          <w:rFonts w:ascii="Arial" w:cs="Arial" w:eastAsia="Arial" w:hAnsi="Arial"/>
          <w:b w:val="false"/>
          <w:bCs w:val="false"/>
          <w:sz w:val="22"/>
          <w:szCs w:val="22"/>
        </w:rPr>
        <w:t xml:space="preserve">Send a periodic, low-pressure reminder notification at a regular interval (suggest every 3 to 4 days as a starting point, to be tuned during the pilot, not fixed in stone now).</w:t>
      </w:r>
    </w:p>
    <w:p>
      <w:pPr>
        <w:pStyle w:val="ListParagraph"/>
        <w:numPr>
          <w:ilvl w:val="0"/>
          <w:numId w:val="2"/>
        </w:numPr>
        <w:spacing w:after="60" w:line="264"/>
      </w:pPr>
      <w:r>
        <w:rPr>
          <w:rFonts w:ascii="Arial" w:cs="Arial" w:eastAsia="Arial" w:hAnsi="Arial"/>
          <w:b w:val="false"/>
          <w:bCs w:val="false"/>
          <w:sz w:val="22"/>
          <w:szCs w:val="22"/>
        </w:rPr>
        <w:t xml:space="preserve">Reminder copy should be light, matching the app's existing tone, for example: “30 seconds for you today?”</w:t>
      </w:r>
    </w:p>
    <w:p>
      <w:pPr>
        <w:pStyle w:val="ListParagraph"/>
        <w:numPr>
          <w:ilvl w:val="0"/>
          <w:numId w:val="2"/>
        </w:numPr>
        <w:spacing w:after="60" w:line="264"/>
      </w:pPr>
      <w:r>
        <w:rPr>
          <w:rFonts w:ascii="Arial" w:cs="Arial" w:eastAsia="Arial" w:hAnsi="Arial"/>
          <w:b w:val="false"/>
          <w:bCs w:val="false"/>
          <w:sz w:val="22"/>
          <w:szCs w:val="22"/>
        </w:rPr>
        <w:t xml:space="preserve">This is separate from the extreme-answer nudge in Section 2.1. A student can receive both types of notification at different times, for different reasons. Keep the two notification types distinct in the codebase, since they trigger differently and may eventually need different copy or frequency tuning.</w:t>
      </w:r>
    </w:p>
    <w:p>
      <w:pPr>
        <w:pStyle w:val="ListParagraph"/>
        <w:numPr>
          <w:ilvl w:val="0"/>
          <w:numId w:val="2"/>
        </w:numPr>
        <w:spacing w:after="60" w:line="264"/>
      </w:pPr>
      <w:r>
        <w:rPr>
          <w:rFonts w:ascii="Arial" w:cs="Arial" w:eastAsia="Arial" w:hAnsi="Arial"/>
          <w:b w:val="false"/>
          <w:bCs w:val="false"/>
          <w:sz w:val="22"/>
          <w:szCs w:val="22"/>
        </w:rPr>
        <w:t xml:space="preserve">This does not change the 30-second check-in itself, only how often the student is invited back. The 30-second format stays as is; validating whether that duration produces honest answers is already a stated grant-period objective, not something to redesign now.</w:t>
      </w:r>
    </w:p>
    <w:p>
      <w:pPr>
        <w:pBdr>
          <w:top w:val="single" w:color="999999" w:sz="6"/>
        </w:pBdr>
        <w:spacing w:after="200" w:before="200"/>
      </w:pPr>
    </w:p>
    <w:p>
      <w:pPr>
        <w:pStyle w:val="Heading1"/>
        <w:spacing w:after="100" w:before="280"/>
      </w:pPr>
      <w:r>
        <w:rPr>
          <w:rFonts w:ascii="Arial" w:cs="Arial" w:eastAsia="Arial" w:hAnsi="Arial"/>
          <w:b/>
          <w:bCs/>
        </w:rPr>
        <w:t xml:space="preserve">4. What This Adds to the Data Model</w:t>
      </w:r>
    </w:p>
    <w:p>
      <w:pPr>
        <w:spacing w:after="110" w:line="264"/>
      </w:pPr>
      <w:r>
        <w:rPr>
          <w:rFonts w:ascii="Arial" w:cs="Arial" w:eastAsia="Arial" w:hAnsi="Arial"/>
          <w:b w:val="false"/>
          <w:bCs w:val="false"/>
          <w:i w:val="false"/>
          <w:iCs w:val="false"/>
          <w:sz w:val="22"/>
          <w:szCs w:val="22"/>
        </w:rPr>
        <w:t xml:space="preserve">A short list of new fields your check-in data model likely needs. Adjust naming to match your existing schema, this is describing the concept, not dictating exact field names.</w:t>
      </w:r>
    </w:p>
    <w:p>
      <w:pPr>
        <w:pStyle w:val="ListParagraph"/>
        <w:numPr>
          <w:ilvl w:val="0"/>
          <w:numId w:val="2"/>
        </w:numPr>
        <w:spacing w:after="60" w:line="264"/>
      </w:pPr>
      <w:r>
        <w:rPr>
          <w:rFonts w:ascii="Arial" w:cs="Arial" w:eastAsia="Arial" w:hAnsi="Arial"/>
          <w:b w:val="false"/>
          <w:bCs w:val="false"/>
          <w:sz w:val="22"/>
          <w:szCs w:val="22"/>
        </w:rPr>
        <w:t xml:space="preserve">extreme_answer_flag and nudge_sent_at, nudge_response, tied to a specific check-in.</w:t>
      </w:r>
    </w:p>
    <w:p>
      <w:pPr>
        <w:pStyle w:val="ListParagraph"/>
        <w:numPr>
          <w:ilvl w:val="0"/>
          <w:numId w:val="2"/>
        </w:numPr>
        <w:spacing w:after="60" w:line="264"/>
      </w:pPr>
      <w:r>
        <w:rPr>
          <w:rFonts w:ascii="Arial" w:cs="Arial" w:eastAsia="Arial" w:hAnsi="Arial"/>
          <w:b w:val="false"/>
          <w:bCs w:val="false"/>
          <w:sz w:val="22"/>
          <w:szCs w:val="22"/>
        </w:rPr>
        <w:t xml:space="preserve">referral_recommended_at, timestamp for when a student was shown a referral recommendation.</w:t>
      </w:r>
    </w:p>
    <w:p>
      <w:pPr>
        <w:pStyle w:val="ListParagraph"/>
        <w:numPr>
          <w:ilvl w:val="0"/>
          <w:numId w:val="2"/>
        </w:numPr>
        <w:spacing w:after="60" w:line="264"/>
      </w:pPr>
      <w:r>
        <w:rPr>
          <w:rFonts w:ascii="Arial" w:cs="Arial" w:eastAsia="Arial" w:hAnsi="Arial"/>
          <w:b w:val="false"/>
          <w:bCs w:val="false"/>
          <w:sz w:val="22"/>
          <w:szCs w:val="22"/>
        </w:rPr>
        <w:t xml:space="preserve">student_self_report_reached: Yes / No / Not yet answered.</w:t>
      </w:r>
    </w:p>
    <w:p>
      <w:pPr>
        <w:pStyle w:val="ListParagraph"/>
        <w:numPr>
          <w:ilvl w:val="0"/>
          <w:numId w:val="2"/>
        </w:numPr>
        <w:spacing w:after="60" w:line="264"/>
      </w:pPr>
      <w:r>
        <w:rPr>
          <w:rFonts w:ascii="Arial" w:cs="Arial" w:eastAsia="Arial" w:hAnsi="Arial"/>
          <w:b w:val="false"/>
          <w:bCs w:val="false"/>
          <w:sz w:val="22"/>
          <w:szCs w:val="22"/>
        </w:rPr>
        <w:t xml:space="preserve">counsellor_log_contacted: already likely covered by existing dashboard status field, confirm and reuse rather than duplicate.</w:t>
      </w:r>
    </w:p>
    <w:p>
      <w:pPr>
        <w:pStyle w:val="ListParagraph"/>
        <w:numPr>
          <w:ilvl w:val="0"/>
          <w:numId w:val="2"/>
        </w:numPr>
        <w:spacing w:after="60" w:line="264"/>
      </w:pPr>
      <w:r>
        <w:rPr>
          <w:rFonts w:ascii="Arial" w:cs="Arial" w:eastAsia="Arial" w:hAnsi="Arial"/>
          <w:b w:val="false"/>
          <w:bCs w:val="false"/>
          <w:sz w:val="22"/>
          <w:szCs w:val="22"/>
        </w:rPr>
        <w:t xml:space="preserve">reminder_last_sent_at, for the scheduled re-engagement cadence in Section 3.</w:t>
      </w:r>
    </w:p>
    <w:p>
      <w:pPr>
        <w:pBdr>
          <w:top w:val="single" w:color="999999" w:sz="6"/>
        </w:pBdr>
        <w:spacing w:after="200" w:before="200"/>
      </w:pPr>
    </w:p>
    <w:p>
      <w:pPr>
        <w:pStyle w:val="Heading1"/>
        <w:spacing w:after="100" w:before="280"/>
      </w:pPr>
      <w:r>
        <w:rPr>
          <w:rFonts w:ascii="Arial" w:cs="Arial" w:eastAsia="Arial" w:hAnsi="Arial"/>
          <w:b/>
          <w:bCs/>
        </w:rPr>
        <w:t xml:space="preserve">5. What Not to Build for This Pass</w:t>
      </w:r>
    </w:p>
    <w:p>
      <w:pPr>
        <w:spacing w:after="100" w:before="40"/>
      </w:pPr>
      <w:r>
        <w:rPr>
          <w:rFonts w:ascii="Arial" w:cs="Arial" w:eastAsia="Arial" w:hAnsi="Arial"/>
          <w:b/>
          <w:bCs/>
          <w:caps/>
          <w:color w:val="B5760C"/>
          <w:sz w:val="18"/>
          <w:szCs w:val="18"/>
        </w:rPr>
        <w:t xml:space="preserve">DOCUMENTED FOR LATER</w:t>
      </w:r>
    </w:p>
    <w:p>
      <w:pPr>
        <w:pStyle w:val="ListParagraph"/>
        <w:numPr>
          <w:ilvl w:val="0"/>
          <w:numId w:val="2"/>
        </w:numPr>
        <w:spacing w:after="60" w:line="264"/>
      </w:pPr>
      <w:r>
        <w:rPr>
          <w:rFonts w:ascii="Arial" w:cs="Arial" w:eastAsia="Arial" w:hAnsi="Arial"/>
          <w:b w:val="false"/>
          <w:bCs w:val="false"/>
          <w:sz w:val="22"/>
          <w:szCs w:val="22"/>
        </w:rPr>
        <w:t xml:space="preserve">Full multi-tenant infrastructure for multiple real institutions. Config-driven branding is enough for now, see Section 1.</w:t>
      </w:r>
    </w:p>
    <w:p>
      <w:pPr>
        <w:pStyle w:val="ListParagraph"/>
        <w:numPr>
          <w:ilvl w:val="0"/>
          <w:numId w:val="2"/>
        </w:numPr>
        <w:spacing w:after="60" w:line="264"/>
      </w:pPr>
      <w:r>
        <w:rPr>
          <w:rFonts w:ascii="Arial" w:cs="Arial" w:eastAsia="Arial" w:hAnsi="Arial"/>
          <w:b w:val="false"/>
          <w:bCs w:val="false"/>
          <w:sz w:val="22"/>
          <w:szCs w:val="22"/>
        </w:rPr>
        <w:t xml:space="preserve">A dedicated analytics dashboard for reach/not-reached discrepancies. A simple filtered list is enough for the pitch stage.</w:t>
      </w:r>
    </w:p>
    <w:p>
      <w:pPr>
        <w:pStyle w:val="ListParagraph"/>
        <w:numPr>
          <w:ilvl w:val="0"/>
          <w:numId w:val="2"/>
        </w:numPr>
        <w:spacing w:after="60" w:line="264"/>
      </w:pPr>
      <w:r>
        <w:rPr>
          <w:rFonts w:ascii="Arial" w:cs="Arial" w:eastAsia="Arial" w:hAnsi="Arial"/>
          <w:b w:val="false"/>
          <w:bCs w:val="false"/>
          <w:sz w:val="22"/>
          <w:szCs w:val="22"/>
        </w:rPr>
        <w:t xml:space="preserve">Tuning the exact nudge and reminder intervals to a final number. Pick a reasonable default, state clearly it will be validated during the grant period, and move on.</w:t>
      </w:r>
    </w:p>
    <w:p>
      <w:pPr>
        <w:pBdr>
          <w:top w:val="single" w:color="999999" w:sz="6"/>
        </w:pBdr>
        <w:spacing w:after="200" w:before="200"/>
      </w:pPr>
    </w:p>
    <w:p>
      <w:pPr>
        <w:pStyle w:val="Heading1"/>
        <w:spacing w:after="100" w:before="280"/>
      </w:pPr>
      <w:r>
        <w:rPr>
          <w:rFonts w:ascii="Arial" w:cs="Arial" w:eastAsia="Arial" w:hAnsi="Arial"/>
          <w:b/>
          <w:bCs/>
        </w:rPr>
        <w:t xml:space="preserve">Priority Order, Given Limited Time Before the Final Pitch</w:t>
      </w:r>
    </w:p>
    <w:p>
      <w:pPr>
        <w:pStyle w:val="ListParagraph"/>
        <w:numPr>
          <w:ilvl w:val="0"/>
          <w:numId w:val="2"/>
        </w:numPr>
        <w:spacing w:after="60" w:line="264"/>
      </w:pPr>
      <w:r>
        <w:rPr>
          <w:rFonts w:ascii="Arial" w:cs="Arial" w:eastAsia="Arial" w:hAnsi="Arial"/>
          <w:b w:val="false"/>
          <w:bCs w:val="false"/>
          <w:sz w:val="22"/>
          <w:szCs w:val="22"/>
        </w:rPr>
        <w:t xml:space="preserve">First: Section 2 (engagement and follow-up loop), since this is the strongest, most specific piece of feedback and most directly strengthens the pitch.</w:t>
      </w:r>
    </w:p>
    <w:p>
      <w:pPr>
        <w:pStyle w:val="ListParagraph"/>
        <w:numPr>
          <w:ilvl w:val="0"/>
          <w:numId w:val="2"/>
        </w:numPr>
        <w:spacing w:after="60" w:line="264"/>
      </w:pPr>
      <w:r>
        <w:rPr>
          <w:rFonts w:ascii="Arial" w:cs="Arial" w:eastAsia="Arial" w:hAnsi="Arial"/>
          <w:b w:val="false"/>
          <w:bCs w:val="false"/>
          <w:sz w:val="22"/>
          <w:szCs w:val="22"/>
        </w:rPr>
        <w:t xml:space="preserve">Second: Section 3 (reminder cadence), closely related and lower effort to add alongside Section 2.</w:t>
      </w:r>
    </w:p>
    <w:p>
      <w:pPr>
        <w:pStyle w:val="ListParagraph"/>
        <w:numPr>
          <w:ilvl w:val="0"/>
          <w:numId w:val="2"/>
        </w:numPr>
        <w:spacing w:after="60" w:line="264"/>
      </w:pPr>
      <w:r>
        <w:rPr>
          <w:rFonts w:ascii="Arial" w:cs="Arial" w:eastAsia="Arial" w:hAnsi="Arial"/>
          <w:b w:val="false"/>
          <w:bCs w:val="false"/>
          <w:sz w:val="22"/>
          <w:szCs w:val="22"/>
        </w:rPr>
        <w:t xml:space="preserve">Third: Section 1 (institution-agnostic config), quick but easy to deprioritise if time is short, since it is a framing fix more than a functional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2026-09-11T18:47:10.687Z</dcterms:created>
  <dcterms:modified xsi:type="dcterms:W3CDTF">2026-09-11T18:47:10.696Z</dcterms:modified>
</cp:coreProperties>
</file>

<file path=docProps/custom.xml><?xml version="1.0" encoding="utf-8"?>
<Properties xmlns="http://schemas.openxmlformats.org/officeDocument/2006/custom-properties" xmlns:vt="http://schemas.openxmlformats.org/officeDocument/2006/docPropsVTypes"/>
</file>