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sz w:val="72"/>
        </w:rPr>
        <w:t>SOURCE AI</w:t>
      </w:r>
    </w:p>
    <w:p>
      <w:pPr>
        <w:jc w:val="center"/>
      </w:pPr>
      <w:r>
        <w:rPr>
          <w:color w:val="555555"/>
          <w:sz w:val="28"/>
        </w:rPr>
        <w:t>The Migration Engine for Consultancies</w:t>
      </w:r>
    </w:p>
    <w:p/>
    <w:p/>
    <w:p>
      <w:pPr>
        <w:jc w:val="center"/>
      </w:pPr>
      <w:r>
        <w:rPr>
          <w:i/>
          <w:color w:val="555555"/>
          <w:sz w:val="22"/>
        </w:rPr>
        <w:t>An AI engine that automates 80% of ERP migrations — so your consultancy</w:t>
        <w:br/>
        <w:t>wins more deals, moves faster, and makes more money.</w:t>
      </w:r>
    </w:p>
    <w:p/>
    <w:p/>
    <w:p/>
    <w:p/>
    <w:p/>
    <w:p/>
    <w:p>
      <w:pPr>
        <w:jc w:val="center"/>
      </w:pPr>
      <w:r>
        <w:rPr>
          <w:color w:val="999999"/>
          <w:sz w:val="20"/>
        </w:rPr>
        <w:t>source.ai</w:t>
      </w:r>
    </w:p>
    <w:p>
      <w:r>
        <w:br w:type="page"/>
      </w:r>
    </w:p>
    <w:p>
      <w:pPr>
        <w:pStyle w:val="Heading1"/>
      </w:pPr>
      <w:r>
        <w:t>The Problem: Why ERP Migrations Are Broken</w:t>
      </w:r>
    </w:p>
    <w:p>
      <w:pPr>
        <w:spacing w:after="160"/>
      </w:pPr>
      <w:r>
        <w:rPr>
          <w:sz w:val="22"/>
        </w:rPr>
        <w:t>Mid-market companies — typically in the $10M–$300M revenue range — eventually outgrow their starter accounting systems. QuickBooks, Xero, MYOB, Sage — these tools work well for small businesses, but they break down when a company scales. The chart of accounts gets unwieldy, inventory sync becomes manual, month-end close takes 12+ days, and international expansion is impossible. At that point, they need to migrate to a modern ERP like Oracle NetSuite or Microsoft Dynamics 365.</w:t>
      </w:r>
    </w:p>
    <w:p>
      <w:pPr>
        <w:spacing w:after="160"/>
      </w:pPr>
      <w:r>
        <w:rPr>
          <w:sz w:val="22"/>
        </w:rPr>
        <w:t>The problem is that the migration itself is painful, expensive, and slow. The consulting industry that has grown up around ERP migrations follows a delivery chain that hasn’t fundamentally changed in decades. A typical mid-market QuickBooks-to-NetSuite migration passes through six stages, each adding time, cost, and handoffs:</w:t>
      </w:r>
    </w:p>
    <w:tbl>
      <w:tblPr>
        <w:tblStyle w:val="TableGrid"/>
        <w:tblW w:type="auto" w:w="0"/>
        <w:jc w:val="left"/>
        <w:tblLook w:firstColumn="1" w:firstRow="1" w:lastColumn="0" w:lastRow="0" w:noHBand="0" w:noVBand="1" w:val="04A0"/>
      </w:tblPr>
      <w:tblGrid>
        <w:gridCol w:w="4703"/>
        <w:gridCol w:w="4703"/>
      </w:tblGrid>
      <w:tr>
        <w:tc>
          <w:tcPr>
            <w:tcW w:type="dxa" w:w="2592"/>
            <w:shd w:fill="1A1A1A" w:val="clear"/>
          </w:tcPr>
          <w:p>
            <w:r/>
            <w:r>
              <w:rPr>
                <w:b/>
                <w:color w:val="FFFFFF"/>
                <w:sz w:val="19"/>
              </w:rPr>
              <w:t>Stage</w:t>
            </w:r>
          </w:p>
        </w:tc>
        <w:tc>
          <w:tcPr>
            <w:tcW w:type="dxa" w:w="7056"/>
            <w:shd w:fill="1A1A1A" w:val="clear"/>
          </w:tcPr>
          <w:p>
            <w:r/>
            <w:r>
              <w:rPr>
                <w:b/>
                <w:color w:val="FFFFFF"/>
                <w:sz w:val="19"/>
              </w:rPr>
              <w:t>What Happens</w:t>
            </w:r>
          </w:p>
        </w:tc>
      </w:tr>
      <w:tr>
        <w:tc>
          <w:tcPr>
            <w:tcW w:type="dxa" w:w="2592"/>
          </w:tcPr>
          <w:p>
            <w:r/>
            <w:r>
              <w:rPr>
                <w:sz w:val="19"/>
              </w:rPr>
              <w:t>1. End Client</w:t>
            </w:r>
          </w:p>
        </w:tc>
        <w:tc>
          <w:tcPr>
            <w:tcW w:type="dxa" w:w="7056"/>
          </w:tcPr>
          <w:p>
            <w:r/>
            <w:r>
              <w:rPr>
                <w:sz w:val="19"/>
              </w:rPr>
              <w:t>Identifies the need, issues an RFP, evaluates vendors</w:t>
            </w:r>
          </w:p>
        </w:tc>
      </w:tr>
      <w:tr>
        <w:tc>
          <w:tcPr>
            <w:tcW w:type="dxa" w:w="2592"/>
            <w:shd w:fill="F5F5F5" w:val="clear"/>
          </w:tcPr>
          <w:p>
            <w:r/>
            <w:r>
              <w:rPr>
                <w:sz w:val="19"/>
              </w:rPr>
              <w:t>2. Sales &amp; Scoping</w:t>
            </w:r>
          </w:p>
        </w:tc>
        <w:tc>
          <w:tcPr>
            <w:tcW w:type="dxa" w:w="7056"/>
            <w:shd w:fill="F5F5F5" w:val="clear"/>
          </w:tcPr>
          <w:p>
            <w:r/>
            <w:r>
              <w:rPr>
                <w:sz w:val="19"/>
              </w:rPr>
              <w:t>Discovery calls, needs analysis, proposal writing, SOW negotiation</w:t>
            </w:r>
          </w:p>
        </w:tc>
      </w:tr>
      <w:tr>
        <w:tc>
          <w:tcPr>
            <w:tcW w:type="dxa" w:w="2592"/>
          </w:tcPr>
          <w:p>
            <w:r/>
            <w:r>
              <w:rPr>
                <w:sz w:val="19"/>
              </w:rPr>
              <w:t>3. Solutions Architecture</w:t>
            </w:r>
          </w:p>
        </w:tc>
        <w:tc>
          <w:tcPr>
            <w:tcW w:type="dxa" w:w="7056"/>
          </w:tcPr>
          <w:p>
            <w:r/>
            <w:r>
              <w:rPr>
                <w:sz w:val="19"/>
              </w:rPr>
              <w:t>Schema analysis, gap assessment, AS-IS → TO-BE mapping, BRD creation</w:t>
            </w:r>
          </w:p>
        </w:tc>
      </w:tr>
      <w:tr>
        <w:tc>
          <w:tcPr>
            <w:tcW w:type="dxa" w:w="2592"/>
            <w:shd w:fill="F5F5F5" w:val="clear"/>
          </w:tcPr>
          <w:p>
            <w:r/>
            <w:r>
              <w:rPr>
                <w:sz w:val="19"/>
              </w:rPr>
              <w:t>4. Resource &amp; Team Build</w:t>
            </w:r>
          </w:p>
        </w:tc>
        <w:tc>
          <w:tcPr>
            <w:tcW w:type="dxa" w:w="7056"/>
            <w:shd w:fill="F5F5F5" w:val="clear"/>
          </w:tcPr>
          <w:p>
            <w:r/>
            <w:r>
              <w:rPr>
                <w:sz w:val="19"/>
              </w:rPr>
              <w:t>Find offshore/onshore developers, onboard them, ramp up on client systems</w:t>
            </w:r>
          </w:p>
        </w:tc>
      </w:tr>
      <w:tr>
        <w:tc>
          <w:tcPr>
            <w:tcW w:type="dxa" w:w="2592"/>
          </w:tcPr>
          <w:p>
            <w:r/>
            <w:r>
              <w:rPr>
                <w:sz w:val="19"/>
              </w:rPr>
              <w:t>5. Implementation &amp; Config</w:t>
            </w:r>
          </w:p>
        </w:tc>
        <w:tc>
          <w:tcPr>
            <w:tcW w:type="dxa" w:w="7056"/>
          </w:tcPr>
          <w:p>
            <w:r/>
            <w:r>
              <w:rPr>
                <w:sz w:val="19"/>
              </w:rPr>
              <w:t>Data migration, custom development, integrations, UAT, bug fixing</w:t>
            </w:r>
          </w:p>
        </w:tc>
      </w:tr>
      <w:tr>
        <w:tc>
          <w:tcPr>
            <w:tcW w:type="dxa" w:w="2592"/>
            <w:shd w:fill="F5F5F5" w:val="clear"/>
          </w:tcPr>
          <w:p>
            <w:r/>
            <w:r>
              <w:rPr>
                <w:sz w:val="19"/>
              </w:rPr>
              <w:t>6. Go-Live &amp; Handover</w:t>
            </w:r>
          </w:p>
        </w:tc>
        <w:tc>
          <w:tcPr>
            <w:tcW w:type="dxa" w:w="7056"/>
            <w:shd w:fill="F5F5F5" w:val="clear"/>
          </w:tcPr>
          <w:p>
            <w:r/>
            <w:r>
              <w:rPr>
                <w:sz w:val="19"/>
              </w:rPr>
              <w:t>Cutover planning, validation, training, hypercare, documentation</w:t>
            </w:r>
          </w:p>
        </w:tc>
      </w:tr>
    </w:tbl>
    <w:p/>
    <w:p>
      <w:pPr>
        <w:spacing w:after="160"/>
      </w:pPr>
      <w:r>
        <w:rPr>
          <w:sz w:val="22"/>
        </w:rPr>
        <w:t>The typical timeline is 4–6+ months. The typical cost to the end client is $30K–$40K in consulting fees alone, on top of the ERP license itself. And the consulting firm doing the work doesn’t make nearly as much as people assume. For every $200/hr billed, roughly $150 gets consumed by marketing and sales costs to win the deal, project management overhead, offshore team costs, customer success, and implementation chaos. Typical mid-market consultancy margins on migrations sit at just 20–30%. On a $30K migration, the firm might net roughly $6K in actual profit.</w:t>
      </w:r>
    </w:p>
    <w:p>
      <w:pPr>
        <w:spacing w:after="160"/>
      </w:pPr>
      <w:r>
        <w:rPr>
          <w:sz w:val="22"/>
        </w:rPr>
        <w:t>Being a mid-market ERP consultant is, frankly, a grind. Winning net-new migration deals means competing in bake-offs with four or five other firms, managing post-migration chaos, handling change orders, and dealing with frustrated customers who feel like the project took too long, cost too much, and involved too many revisions. Migrations are thin-margin, time-intensive work — and both the consultant and the end client are frustrated by the process.</w:t>
      </w:r>
    </w:p>
    <w:p>
      <w:pPr>
        <w:spacing w:before="200" w:after="200"/>
        <w:pBdr>
          <w:bottom w:val="single" w:sz="6" w:space="1" w:color="CCCCCC"/>
        </w:pBdr>
      </w:pPr>
    </w:p>
    <w:p>
      <w:pPr>
        <w:pStyle w:val="Heading1"/>
      </w:pPr>
      <w:r>
        <w:t>What Source AI Is</w:t>
      </w:r>
    </w:p>
    <w:p>
      <w:pPr>
        <w:spacing w:after="160"/>
      </w:pPr>
      <w:r>
        <w:rPr>
          <w:sz w:val="22"/>
        </w:rPr>
        <w:t>Source AI is an autonomous AI engine that automates 80% of ERP migration work for mid-market companies. It is not a tool that consultants log into — it is a service that replaces the expensive, slow middle of the delivery chain. Source handles the solutions architecture, the offshoring, the implementation, and the migration execution. The consultant keeps the client relationship, the sales, the scoping, and the final review.</w:t>
      </w:r>
    </w:p>
    <w:p>
      <w:pPr>
        <w:spacing w:after="160"/>
      </w:pPr>
      <w:r>
        <w:rPr>
          <w:sz w:val="22"/>
        </w:rPr>
        <w:t>The way to think about it is this: today, when a consultancy wins a migration deal, they need to spin up a solutions architect, possibly an offshore development team, and spend months going through BRD cycles, data mapping, configuration, and testing. With Source, the consultant’s sales person goes on the discovery call, captures the context, and then hands it off to Source. Source connects to the client’s existing system, scans it, infers the business logic, generates the BRD, creates the migration plan, executes the implementation, and delivers a live, configured target system — all in under 21 days.</w:t>
      </w:r>
    </w:p>
    <w:p>
      <w:pPr>
        <w:spacing w:after="160"/>
      </w:pPr>
      <w:r>
        <w:rPr>
          <w:sz w:val="22"/>
        </w:rPr>
        <w:t>Source is not trying to replace consultancies. It partners with them. The consultant remains the face of the engagement. The client never sees Source’s branding — every deliverable, every questionnaire, every report ships under the consultancy’s own logo, domain, and colours. Source is the engine under the hood that makes the consultancy dramatically more efficient and profitable.</w:t>
      </w:r>
    </w:p>
    <w:p>
      <w:pPr>
        <w:spacing w:before="200" w:after="200"/>
        <w:pBdr>
          <w:bottom w:val="single" w:sz="6" w:space="1" w:color="CCCCCC"/>
        </w:pBdr>
      </w:pPr>
    </w:p>
    <w:p>
      <w:pPr>
        <w:pStyle w:val="Heading1"/>
      </w:pPr>
      <w:r>
        <w:t>How Source AI Works</w:t>
      </w:r>
    </w:p>
    <w:p>
      <w:pPr>
        <w:pStyle w:val="Heading2"/>
      </w:pPr>
      <w:r>
        <w:t>The Old Delivery Chain vs. The New Chain</w:t>
      </w:r>
    </w:p>
    <w:p>
      <w:pPr>
        <w:spacing w:after="160"/>
      </w:pPr>
      <w:r>
        <w:rPr>
          <w:sz w:val="22"/>
        </w:rPr>
        <w:t>In the traditional model, the delivery chain runs: End Client → Sales → Solutions Architect → Offshore Team → Migration Complete. With Source, the chain collapses to: End Client → Your Consultant → Source AI Engine → Live System. The Solutions Architect and the offshore team are eliminated entirely. The consultant stays on the relationship and the commercial ownership. Source does the rest.</w:t>
      </w:r>
    </w:p>
    <w:p>
      <w:pPr>
        <w:pStyle w:val="Heading2"/>
      </w:pPr>
      <w:r>
        <w:t>What Source AI Handles Autonomously</w:t>
      </w:r>
    </w:p>
    <w:p>
      <w:pPr>
        <w:spacing w:after="160"/>
      </w:pPr>
      <w:r>
        <w:rPr>
          <w:sz w:val="22"/>
        </w:rPr>
        <w:t>Source takes on the full technical execution of a migration — approximately 85% of the total work. This includes:</w:t>
      </w:r>
    </w:p>
    <w:p>
      <w:pPr>
        <w:pStyle w:val="ListBullet"/>
      </w:pPr>
      <w:r>
        <w:rPr>
          <w:b/>
          <w:sz w:val="21"/>
        </w:rPr>
        <w:t xml:space="preserve">System Scanning — </w:t>
      </w:r>
      <w:r>
        <w:rPr>
          <w:sz w:val="21"/>
        </w:rPr>
        <w:t>Connects to the client’s legacy system (QuickBooks, Xero, MYOB, etc.) via API with read-only access. Builds a complete instance map — schemas, fields, customisations, data volumes, integrations.</w:t>
      </w:r>
    </w:p>
    <w:p>
      <w:pPr>
        <w:pStyle w:val="ListBullet"/>
      </w:pPr>
      <w:r>
        <w:rPr>
          <w:b/>
          <w:sz w:val="21"/>
        </w:rPr>
        <w:t xml:space="preserve">Business Logic Inference — </w:t>
      </w:r>
      <w:r>
        <w:rPr>
          <w:sz w:val="21"/>
        </w:rPr>
        <w:t>Analyses the scanned data to understand what’s actually happening in the system versus what was described. Identifies workflows, customisations, and tribal knowledge embedded in the data.</w:t>
      </w:r>
    </w:p>
    <w:p>
      <w:pPr>
        <w:pStyle w:val="ListBullet"/>
      </w:pPr>
      <w:r>
        <w:rPr>
          <w:b/>
          <w:sz w:val="21"/>
        </w:rPr>
        <w:t xml:space="preserve">Strategy Generation — </w:t>
      </w:r>
      <w:r>
        <w:rPr>
          <w:sz w:val="21"/>
        </w:rPr>
        <w:t>Identifies pain points, business workflows, and improvement opportunities. Generates strategic recommendations for the migration approach.</w:t>
      </w:r>
    </w:p>
    <w:p>
      <w:pPr>
        <w:pStyle w:val="ListBullet"/>
      </w:pPr>
      <w:r>
        <w:rPr>
          <w:b/>
          <w:sz w:val="21"/>
        </w:rPr>
        <w:t xml:space="preserve">Questionnaire Generation — </w:t>
      </w:r>
      <w:r>
        <w:rPr>
          <w:sz w:val="21"/>
        </w:rPr>
        <w:t>Creates targeted, multi-choice questions specific to the migration findings. The consultant delivers these to the end client. AI pre-fills recommendations with confidence scores.</w:t>
      </w:r>
    </w:p>
    <w:p>
      <w:pPr>
        <w:pStyle w:val="ListBullet"/>
      </w:pPr>
      <w:r>
        <w:rPr>
          <w:b/>
          <w:sz w:val="21"/>
        </w:rPr>
        <w:t xml:space="preserve">BRD Generation — </w:t>
      </w:r>
      <w:r>
        <w:rPr>
          <w:sz w:val="21"/>
        </w:rPr>
        <w:t>Produces a full Business Requirements Document — AS-IS state, TO-BE state, gap analysis, data mapping, and migration plan. Updates instantly based on questionnaire responses.</w:t>
      </w:r>
    </w:p>
    <w:p>
      <w:pPr>
        <w:pStyle w:val="ListBullet"/>
      </w:pPr>
      <w:r>
        <w:rPr>
          <w:b/>
          <w:sz w:val="21"/>
        </w:rPr>
        <w:t xml:space="preserve">Implementation &amp; Configuration — </w:t>
      </w:r>
      <w:r>
        <w:rPr>
          <w:sz w:val="21"/>
        </w:rPr>
        <w:t>Configures the target system (NetSuite, Dynamics 365, etc.), executes the data migration (ETL), and runs validation checks. Zero human hours on migration execution.</w:t>
      </w:r>
    </w:p>
    <w:p>
      <w:pPr>
        <w:pStyle w:val="ListBullet"/>
      </w:pPr>
      <w:r>
        <w:rPr>
          <w:b/>
          <w:sz w:val="21"/>
        </w:rPr>
        <w:t xml:space="preserve">Testing &amp; QA — </w:t>
      </w:r>
      <w:r>
        <w:rPr>
          <w:sz w:val="21"/>
        </w:rPr>
        <w:t>Automated testing, reconciliation, and proof artifacts generated for the consultant to present to the client.</w:t>
      </w:r>
    </w:p>
    <w:p>
      <w:pPr>
        <w:pStyle w:val="ListBullet"/>
      </w:pPr>
      <w:r>
        <w:rPr>
          <w:b/>
          <w:sz w:val="21"/>
        </w:rPr>
        <w:t xml:space="preserve">Go-Live Execution — </w:t>
      </w:r>
      <w:r>
        <w:rPr>
          <w:sz w:val="21"/>
        </w:rPr>
        <w:t>Cutover and final verification. The consultant handles UAT and training with the client.</w:t>
      </w:r>
    </w:p>
    <w:p>
      <w:pPr>
        <w:pStyle w:val="Heading2"/>
      </w:pPr>
      <w:r>
        <w:t>What the Consultant Still Handles</w:t>
      </w:r>
    </w:p>
    <w:p>
      <w:pPr>
        <w:spacing w:after="160"/>
      </w:pPr>
      <w:r>
        <w:rPr>
          <w:sz w:val="22"/>
        </w:rPr>
        <w:t>The consultant’s role becomes focused on the high-value, human-centric parts of the engagement. This is lightweight but essential:</w:t>
      </w:r>
    </w:p>
    <w:p>
      <w:pPr>
        <w:pStyle w:val="ListBullet"/>
      </w:pPr>
      <w:r>
        <w:rPr>
          <w:sz w:val="21"/>
        </w:rPr>
        <w:t>Running the initial discovery call and capturing client context</w:t>
      </w:r>
    </w:p>
    <w:p>
      <w:pPr>
        <w:pStyle w:val="ListBullet"/>
      </w:pPr>
      <w:r>
        <w:rPr>
          <w:sz w:val="21"/>
        </w:rPr>
        <w:t>Providing business context and institutional knowledge to Source</w:t>
      </w:r>
    </w:p>
    <w:p>
      <w:pPr>
        <w:pStyle w:val="ListBullet"/>
      </w:pPr>
      <w:r>
        <w:rPr>
          <w:sz w:val="21"/>
        </w:rPr>
        <w:t>Reviewing Source AI’s outputs (BRD, migration plan, questionnaires)</w:t>
      </w:r>
    </w:p>
    <w:p>
      <w:pPr>
        <w:pStyle w:val="ListBullet"/>
      </w:pPr>
      <w:r>
        <w:rPr>
          <w:sz w:val="21"/>
        </w:rPr>
        <w:t>Delivering questionnaires to the end user and facilitating sign-off</w:t>
      </w:r>
    </w:p>
    <w:p>
      <w:pPr>
        <w:pStyle w:val="ListBullet"/>
      </w:pPr>
      <w:r>
        <w:rPr>
          <w:sz w:val="21"/>
        </w:rPr>
        <w:t>Confirming the final BRD with the end user</w:t>
      </w:r>
    </w:p>
    <w:p>
      <w:pPr>
        <w:pStyle w:val="ListBullet"/>
      </w:pPr>
      <w:r>
        <w:rPr>
          <w:sz w:val="21"/>
        </w:rPr>
        <w:t>User training, UAT, and go-live handover</w:t>
      </w:r>
    </w:p>
    <w:p>
      <w:pPr>
        <w:pStyle w:val="Heading2"/>
      </w:pPr>
      <w:r>
        <w:t>What the End Client Does</w:t>
      </w:r>
    </w:p>
    <w:p>
      <w:pPr>
        <w:spacing w:after="160"/>
      </w:pPr>
      <w:r>
        <w:rPr>
          <w:sz w:val="22"/>
        </w:rPr>
        <w:t>The end client’s involvement is minimal — they answer questionnaires, confirm their business requirements, sign off on the TO-BE state, and accept the final migration. They interact through a branded portal under the consultancy’s identity.</w:t>
      </w:r>
    </w:p>
    <w:p>
      <w:pPr>
        <w:pStyle w:val="Heading2"/>
      </w:pPr>
      <w:r>
        <w:t>The Step-by-Step Workflow</w:t>
      </w:r>
    </w:p>
    <w:p>
      <w:pPr>
        <w:spacing w:after="160"/>
      </w:pPr>
      <w:r>
        <w:rPr>
          <w:sz w:val="22"/>
        </w:rPr>
        <w:t>In practice, a Source-powered migration follows ten steps. The consultant touches steps 1, 5, and 9. The end client touches steps 6 and 10. Source handles everything else:</w:t>
      </w:r>
    </w:p>
    <w:tbl>
      <w:tblPr>
        <w:tblStyle w:val="TableGrid"/>
        <w:tblW w:type="auto" w:w="0"/>
        <w:jc w:val="left"/>
        <w:tblLook w:firstColumn="1" w:firstRow="1" w:lastColumn="0" w:lastRow="0" w:noHBand="0" w:noVBand="1" w:val="04A0"/>
      </w:tblPr>
      <w:tblGrid>
        <w:gridCol w:w="3135"/>
        <w:gridCol w:w="3135"/>
        <w:gridCol w:w="3135"/>
      </w:tblGrid>
      <w:tr>
        <w:tc>
          <w:tcPr>
            <w:tcW w:type="dxa" w:w="720"/>
            <w:shd w:fill="1A1A1A" w:val="clear"/>
          </w:tcPr>
          <w:p>
            <w:r/>
            <w:r>
              <w:rPr>
                <w:b/>
                <w:color w:val="FFFFFF"/>
                <w:sz w:val="19"/>
              </w:rPr>
              <w:t>Step</w:t>
            </w:r>
          </w:p>
        </w:tc>
        <w:tc>
          <w:tcPr>
            <w:tcW w:type="dxa" w:w="1872"/>
            <w:shd w:fill="1A1A1A" w:val="clear"/>
          </w:tcPr>
          <w:p>
            <w:r/>
            <w:r>
              <w:rPr>
                <w:b/>
                <w:color w:val="FFFFFF"/>
                <w:sz w:val="19"/>
              </w:rPr>
              <w:t>Owner</w:t>
            </w:r>
          </w:p>
        </w:tc>
        <w:tc>
          <w:tcPr>
            <w:tcW w:type="dxa" w:w="7056"/>
            <w:shd w:fill="1A1A1A" w:val="clear"/>
          </w:tcPr>
          <w:p>
            <w:r/>
            <w:r>
              <w:rPr>
                <w:b/>
                <w:color w:val="FFFFFF"/>
                <w:sz w:val="19"/>
              </w:rPr>
              <w:t>Action</w:t>
            </w:r>
          </w:p>
        </w:tc>
      </w:tr>
      <w:tr>
        <w:tc>
          <w:tcPr>
            <w:tcW w:type="dxa" w:w="720"/>
          </w:tcPr>
          <w:p>
            <w:r/>
            <w:r>
              <w:rPr>
                <w:sz w:val="19"/>
              </w:rPr>
              <w:t>1</w:t>
            </w:r>
          </w:p>
        </w:tc>
        <w:tc>
          <w:tcPr>
            <w:tcW w:type="dxa" w:w="1872"/>
          </w:tcPr>
          <w:p>
            <w:r/>
            <w:r>
              <w:rPr>
                <w:sz w:val="19"/>
              </w:rPr>
              <w:t>Consultant</w:t>
            </w:r>
          </w:p>
        </w:tc>
        <w:tc>
          <w:tcPr>
            <w:tcW w:type="dxa" w:w="7056"/>
          </w:tcPr>
          <w:p>
            <w:r/>
            <w:r>
              <w:rPr>
                <w:sz w:val="19"/>
              </w:rPr>
              <w:t>Client call &amp; notes — runs normal discovery session</w:t>
            </w:r>
          </w:p>
        </w:tc>
      </w:tr>
      <w:tr>
        <w:tc>
          <w:tcPr>
            <w:tcW w:type="dxa" w:w="720"/>
            <w:shd w:fill="F5F5F5" w:val="clear"/>
          </w:tcPr>
          <w:p>
            <w:r/>
            <w:r>
              <w:rPr>
                <w:sz w:val="19"/>
              </w:rPr>
              <w:t>2</w:t>
            </w:r>
          </w:p>
        </w:tc>
        <w:tc>
          <w:tcPr>
            <w:tcW w:type="dxa" w:w="1872"/>
            <w:shd w:fill="F5F5F5" w:val="clear"/>
          </w:tcPr>
          <w:p>
            <w:r/>
            <w:r>
              <w:rPr>
                <w:sz w:val="19"/>
              </w:rPr>
              <w:t>Source AI</w:t>
            </w:r>
          </w:p>
        </w:tc>
        <w:tc>
          <w:tcPr>
            <w:tcW w:type="dxa" w:w="7056"/>
            <w:shd w:fill="F5F5F5" w:val="clear"/>
          </w:tcPr>
          <w:p>
            <w:r/>
            <w:r>
              <w:rPr>
                <w:sz w:val="19"/>
              </w:rPr>
              <w:t>Connect &amp; scan — read-only access to legacy system</w:t>
            </w:r>
          </w:p>
        </w:tc>
      </w:tr>
      <w:tr>
        <w:tc>
          <w:tcPr>
            <w:tcW w:type="dxa" w:w="720"/>
          </w:tcPr>
          <w:p>
            <w:r/>
            <w:r>
              <w:rPr>
                <w:sz w:val="19"/>
              </w:rPr>
              <w:t>3</w:t>
            </w:r>
          </w:p>
        </w:tc>
        <w:tc>
          <w:tcPr>
            <w:tcW w:type="dxa" w:w="1872"/>
          </w:tcPr>
          <w:p>
            <w:r/>
            <w:r>
              <w:rPr>
                <w:sz w:val="19"/>
              </w:rPr>
              <w:t>Source AI</w:t>
            </w:r>
          </w:p>
        </w:tc>
        <w:tc>
          <w:tcPr>
            <w:tcW w:type="dxa" w:w="7056"/>
          </w:tcPr>
          <w:p>
            <w:r/>
            <w:r>
              <w:rPr>
                <w:sz w:val="19"/>
              </w:rPr>
              <w:t>AI questionnaire — generates targeted questions from scan findings</w:t>
            </w:r>
          </w:p>
        </w:tc>
      </w:tr>
      <w:tr>
        <w:tc>
          <w:tcPr>
            <w:tcW w:type="dxa" w:w="720"/>
            <w:shd w:fill="F5F5F5" w:val="clear"/>
          </w:tcPr>
          <w:p>
            <w:r/>
            <w:r>
              <w:rPr>
                <w:sz w:val="19"/>
              </w:rPr>
              <w:t>4</w:t>
            </w:r>
          </w:p>
        </w:tc>
        <w:tc>
          <w:tcPr>
            <w:tcW w:type="dxa" w:w="1872"/>
            <w:shd w:fill="F5F5F5" w:val="clear"/>
          </w:tcPr>
          <w:p>
            <w:r/>
            <w:r>
              <w:rPr>
                <w:sz w:val="19"/>
              </w:rPr>
              <w:t>Source AI</w:t>
            </w:r>
          </w:p>
        </w:tc>
        <w:tc>
          <w:tcPr>
            <w:tcW w:type="dxa" w:w="7056"/>
            <w:shd w:fill="F5F5F5" w:val="clear"/>
          </w:tcPr>
          <w:p>
            <w:r/>
            <w:r>
              <w:rPr>
                <w:sz w:val="19"/>
              </w:rPr>
              <w:t>Draft BRD — full requirements document with migration plan</w:t>
            </w:r>
          </w:p>
        </w:tc>
      </w:tr>
      <w:tr>
        <w:tc>
          <w:tcPr>
            <w:tcW w:type="dxa" w:w="720"/>
          </w:tcPr>
          <w:p>
            <w:r/>
            <w:r>
              <w:rPr>
                <w:sz w:val="19"/>
              </w:rPr>
              <w:t>5</w:t>
            </w:r>
          </w:p>
        </w:tc>
        <w:tc>
          <w:tcPr>
            <w:tcW w:type="dxa" w:w="1872"/>
          </w:tcPr>
          <w:p>
            <w:r/>
            <w:r>
              <w:rPr>
                <w:sz w:val="19"/>
              </w:rPr>
              <w:t>Consultant</w:t>
            </w:r>
          </w:p>
        </w:tc>
        <w:tc>
          <w:tcPr>
            <w:tcW w:type="dxa" w:w="7056"/>
          </w:tcPr>
          <w:p>
            <w:r/>
            <w:r>
              <w:rPr>
                <w:sz w:val="19"/>
              </w:rPr>
              <w:t>Consultant review — reviews outputs, adds context</w:t>
            </w:r>
          </w:p>
        </w:tc>
      </w:tr>
      <w:tr>
        <w:tc>
          <w:tcPr>
            <w:tcW w:type="dxa" w:w="720"/>
            <w:shd w:fill="F5F5F5" w:val="clear"/>
          </w:tcPr>
          <w:p>
            <w:r/>
            <w:r>
              <w:rPr>
                <w:sz w:val="19"/>
              </w:rPr>
              <w:t>6</w:t>
            </w:r>
          </w:p>
        </w:tc>
        <w:tc>
          <w:tcPr>
            <w:tcW w:type="dxa" w:w="1872"/>
            <w:shd w:fill="F5F5F5" w:val="clear"/>
          </w:tcPr>
          <w:p>
            <w:r/>
            <w:r>
              <w:rPr>
                <w:sz w:val="19"/>
              </w:rPr>
              <w:t>Customer</w:t>
            </w:r>
          </w:p>
        </w:tc>
        <w:tc>
          <w:tcPr>
            <w:tcW w:type="dxa" w:w="7056"/>
            <w:shd w:fill="F5F5F5" w:val="clear"/>
          </w:tcPr>
          <w:p>
            <w:r/>
            <w:r>
              <w:rPr>
                <w:sz w:val="19"/>
              </w:rPr>
              <w:t>Customer sign-off — confirms requirements and TO-BE state</w:t>
            </w:r>
          </w:p>
        </w:tc>
      </w:tr>
      <w:tr>
        <w:tc>
          <w:tcPr>
            <w:tcW w:type="dxa" w:w="720"/>
          </w:tcPr>
          <w:p>
            <w:r/>
            <w:r>
              <w:rPr>
                <w:sz w:val="19"/>
              </w:rPr>
              <w:t>7</w:t>
            </w:r>
          </w:p>
        </w:tc>
        <w:tc>
          <w:tcPr>
            <w:tcW w:type="dxa" w:w="1872"/>
          </w:tcPr>
          <w:p>
            <w:r/>
            <w:r>
              <w:rPr>
                <w:sz w:val="19"/>
              </w:rPr>
              <w:t>Source AI</w:t>
            </w:r>
          </w:p>
        </w:tc>
        <w:tc>
          <w:tcPr>
            <w:tcW w:type="dxa" w:w="7056"/>
          </w:tcPr>
          <w:p>
            <w:r/>
            <w:r>
              <w:rPr>
                <w:sz w:val="19"/>
              </w:rPr>
              <w:t>AI migration — implementation, configuration, data migration</w:t>
            </w:r>
          </w:p>
        </w:tc>
      </w:tr>
      <w:tr>
        <w:tc>
          <w:tcPr>
            <w:tcW w:type="dxa" w:w="720"/>
            <w:shd w:fill="F5F5F5" w:val="clear"/>
          </w:tcPr>
          <w:p>
            <w:r/>
            <w:r>
              <w:rPr>
                <w:sz w:val="19"/>
              </w:rPr>
              <w:t>8</w:t>
            </w:r>
          </w:p>
        </w:tc>
        <w:tc>
          <w:tcPr>
            <w:tcW w:type="dxa" w:w="1872"/>
            <w:shd w:fill="F5F5F5" w:val="clear"/>
          </w:tcPr>
          <w:p>
            <w:r/>
            <w:r>
              <w:rPr>
                <w:sz w:val="19"/>
              </w:rPr>
              <w:t>Source AI</w:t>
            </w:r>
          </w:p>
        </w:tc>
        <w:tc>
          <w:tcPr>
            <w:tcW w:type="dxa" w:w="7056"/>
            <w:shd w:fill="F5F5F5" w:val="clear"/>
          </w:tcPr>
          <w:p>
            <w:r/>
            <w:r>
              <w:rPr>
                <w:sz w:val="19"/>
              </w:rPr>
              <w:t>Testing &amp; QA — automated validation and proof artifacts</w:t>
            </w:r>
          </w:p>
        </w:tc>
      </w:tr>
      <w:tr>
        <w:tc>
          <w:tcPr>
            <w:tcW w:type="dxa" w:w="720"/>
          </w:tcPr>
          <w:p>
            <w:r/>
            <w:r>
              <w:rPr>
                <w:sz w:val="19"/>
              </w:rPr>
              <w:t>9</w:t>
            </w:r>
          </w:p>
        </w:tc>
        <w:tc>
          <w:tcPr>
            <w:tcW w:type="dxa" w:w="1872"/>
          </w:tcPr>
          <w:p>
            <w:r/>
            <w:r>
              <w:rPr>
                <w:sz w:val="19"/>
              </w:rPr>
              <w:t>Consultant</w:t>
            </w:r>
          </w:p>
        </w:tc>
        <w:tc>
          <w:tcPr>
            <w:tcW w:type="dxa" w:w="7056"/>
          </w:tcPr>
          <w:p>
            <w:r/>
            <w:r>
              <w:rPr>
                <w:sz w:val="19"/>
              </w:rPr>
              <w:t>Go-live &amp; handover — UAT, training, cutover</w:t>
            </w:r>
          </w:p>
        </w:tc>
      </w:tr>
      <w:tr>
        <w:tc>
          <w:tcPr>
            <w:tcW w:type="dxa" w:w="720"/>
            <w:shd w:fill="F5F5F5" w:val="clear"/>
          </w:tcPr>
          <w:p>
            <w:r/>
            <w:r>
              <w:rPr>
                <w:sz w:val="19"/>
              </w:rPr>
              <w:t>10</w:t>
            </w:r>
          </w:p>
        </w:tc>
        <w:tc>
          <w:tcPr>
            <w:tcW w:type="dxa" w:w="1872"/>
            <w:shd w:fill="F5F5F5" w:val="clear"/>
          </w:tcPr>
          <w:p>
            <w:r/>
            <w:r>
              <w:rPr>
                <w:sz w:val="19"/>
              </w:rPr>
              <w:t>Customer</w:t>
            </w:r>
          </w:p>
        </w:tc>
        <w:tc>
          <w:tcPr>
            <w:tcW w:type="dxa" w:w="7056"/>
            <w:shd w:fill="F5F5F5" w:val="clear"/>
          </w:tcPr>
          <w:p>
            <w:r/>
            <w:r>
              <w:rPr>
                <w:sz w:val="19"/>
              </w:rPr>
              <w:t>Happy customer</w:t>
            </w:r>
          </w:p>
        </w:tc>
      </w:tr>
    </w:tbl>
    <w:p/>
    <w:p>
      <w:pPr>
        <w:spacing w:after="160"/>
      </w:pPr>
      <w:r>
        <w:rPr>
          <w:sz w:val="22"/>
        </w:rPr>
        <w:t>The entire process takes under 21 days end-to-end, with roughly 12 hours of consultant time across the engagement. No offshore developers. No solutions architect. No months of BRD revision cycles.</w:t>
      </w:r>
    </w:p>
    <w:p>
      <w:pPr>
        <w:spacing w:before="200" w:after="200"/>
        <w:pBdr>
          <w:bottom w:val="single" w:sz="6" w:space="1" w:color="CCCCCC"/>
        </w:pBdr>
      </w:pPr>
    </w:p>
    <w:p>
      <w:pPr>
        <w:pStyle w:val="Heading1"/>
      </w:pPr>
      <w:r>
        <w:t>What Source Actually Produces: A Live Walkthrough</w:t>
      </w:r>
    </w:p>
    <w:p>
      <w:pPr>
        <w:spacing w:after="160"/>
      </w:pPr>
      <w:r>
        <w:rPr>
          <w:sz w:val="22"/>
        </w:rPr>
        <w:t>In live demonstrations to prospective partners, Source AI’s CEO Liam Fuller walks through the system using a real QuickBooks environment with over $33 million in transaction data — an intentionally complex test instance. The demo shows what happens after a consultant uploads discovery call notes and gives Source read-only API access to the client’s system.</w:t>
      </w:r>
    </w:p>
    <w:p>
      <w:pPr>
        <w:spacing w:after="160"/>
      </w:pPr>
      <w:r>
        <w:rPr>
          <w:sz w:val="22"/>
        </w:rPr>
        <w:t>Source begins by scanning the QuickBooks instance. Within minutes, it identifies the system’s characteristics: deferred revenue patterns, opening balance issues, duplicate vendors, and a full AP/AR breakdown. In one demonstration, Source surfaced a critical finding that would typically take a solutions architect days to discover: all physical product revenue from the client’s Shopify connector was flowing through a discount income account instead of proper sales revenue accounts. In Source’s words: “Revenue reported in QuickBooks is fundamentally misstated at the gross revenue line.” This is the kind of finding that changes the entire migration strategy — and Source catches it automatically.</w:t>
      </w:r>
    </w:p>
    <w:p>
      <w:pPr>
        <w:spacing w:after="160"/>
      </w:pPr>
      <w:r>
        <w:rPr>
          <w:sz w:val="22"/>
        </w:rPr>
        <w:t>From the scan, Source generates a comprehensive set of outputs:</w:t>
      </w:r>
    </w:p>
    <w:p>
      <w:pPr>
        <w:pStyle w:val="ListBullet"/>
      </w:pPr>
      <w:r>
        <w:rPr>
          <w:sz w:val="21"/>
        </w:rPr>
        <w:t>An executive summary with an overall data readiness assessment, account counts, vendor and customer totals, and critical findings</w:t>
      </w:r>
    </w:p>
    <w:p>
      <w:pPr>
        <w:pStyle w:val="ListBullet"/>
      </w:pPr>
      <w:r>
        <w:rPr>
          <w:sz w:val="21"/>
        </w:rPr>
        <w:t>A company profile assembled from the discovery conversation and the system scan — covering channel mix (e-commerce, retail, wholesale), supply chain, and key stakeholders</w:t>
      </w:r>
    </w:p>
    <w:p>
      <w:pPr>
        <w:pStyle w:val="ListBullet"/>
      </w:pPr>
      <w:r>
        <w:rPr>
          <w:sz w:val="21"/>
        </w:rPr>
        <w:t>A month-end close analysis comparing what the client stated in conversation against what the data actually shows</w:t>
      </w:r>
    </w:p>
    <w:p>
      <w:pPr>
        <w:pStyle w:val="ListBullet"/>
      </w:pPr>
      <w:r>
        <w:rPr>
          <w:sz w:val="21"/>
        </w:rPr>
        <w:t>A migration strategy with phasing recommendations and data mapping decisions (for example: “do not migrate this data — build it from the Shopify integration instead”)</w:t>
      </w:r>
    </w:p>
    <w:p>
      <w:pPr>
        <w:pStyle w:val="ListBullet"/>
      </w:pPr>
      <w:r>
        <w:rPr>
          <w:sz w:val="21"/>
        </w:rPr>
        <w:t>Auto-generated questions for the next discovery call, each with impact assessments and the responsible stakeholder identified</w:t>
      </w:r>
    </w:p>
    <w:p>
      <w:pPr>
        <w:pStyle w:val="ListBullet"/>
      </w:pPr>
      <w:r>
        <w:rPr>
          <w:sz w:val="21"/>
        </w:rPr>
        <w:t>Option A / Option B decision points with Source’s default recommendation and confidence score</w:t>
      </w:r>
    </w:p>
    <w:p>
      <w:pPr>
        <w:spacing w:after="160"/>
      </w:pPr>
      <w:r>
        <w:rPr>
          <w:sz w:val="22"/>
        </w:rPr>
        <w:t>All of this is produced from a single system scan and a set of discovery call notes. The consultant can walk into their next call with the client armed with a document that would have taken a solutions architect a week or more to produce manually. After the second call, the questionnaire responses flow back into Source, and the BRD is updated automatically. Once the client signs off on the BRD, Source begins the migration execution.</w:t>
      </w:r>
    </w:p>
    <w:p>
      <w:pPr>
        <w:spacing w:before="200" w:after="200"/>
        <w:pBdr>
          <w:bottom w:val="single" w:sz="6" w:space="1" w:color="CCCCCC"/>
        </w:pBdr>
      </w:pPr>
    </w:p>
    <w:p>
      <w:pPr>
        <w:pStyle w:val="Heading1"/>
      </w:pPr>
      <w:r>
        <w:t>Case Study: Wild Tech — QuickBooks to NetSuite in 13 Days</w:t>
      </w:r>
    </w:p>
    <w:p>
      <w:pPr>
        <w:spacing w:after="160"/>
      </w:pPr>
      <w:r>
        <w:rPr>
          <w:sz w:val="22"/>
        </w:rPr>
        <w:t>Source AI’s first completed migration was delivered in partnership with Wild Tech, a NetSuite Solution Provider based in Australia. The engagement involved a mid-market retail client with approximately 120 employees, migrating from QuickBooks to NetSuite.</w:t>
      </w:r>
    </w:p>
    <w:tbl>
      <w:tblPr>
        <w:tblStyle w:val="TableGrid"/>
        <w:tblW w:type="auto" w:w="0"/>
        <w:jc w:val="left"/>
        <w:tblLook w:firstColumn="1" w:firstRow="1" w:lastColumn="0" w:lastRow="0" w:noHBand="0" w:noVBand="1" w:val="04A0"/>
      </w:tblPr>
      <w:tblGrid>
        <w:gridCol w:w="4703"/>
        <w:gridCol w:w="4703"/>
      </w:tblGrid>
      <w:tr>
        <w:tc>
          <w:tcPr>
            <w:tcW w:type="dxa" w:w="3600"/>
            <w:shd w:fill="1A1A1A" w:val="clear"/>
          </w:tcPr>
          <w:p>
            <w:r/>
            <w:r>
              <w:rPr>
                <w:b/>
                <w:color w:val="FFFFFF"/>
                <w:sz w:val="19"/>
              </w:rPr>
              <w:t>Metric</w:t>
            </w:r>
          </w:p>
        </w:tc>
        <w:tc>
          <w:tcPr>
            <w:tcW w:type="dxa" w:w="5760"/>
            <w:shd w:fill="1A1A1A" w:val="clear"/>
          </w:tcPr>
          <w:p>
            <w:r/>
            <w:r>
              <w:rPr>
                <w:b/>
                <w:color w:val="FFFFFF"/>
                <w:sz w:val="19"/>
              </w:rPr>
              <w:t>Value</w:t>
            </w:r>
          </w:p>
        </w:tc>
      </w:tr>
      <w:tr>
        <w:tc>
          <w:tcPr>
            <w:tcW w:type="dxa" w:w="3600"/>
          </w:tcPr>
          <w:p>
            <w:r/>
            <w:r>
              <w:rPr>
                <w:sz w:val="19"/>
              </w:rPr>
              <w:t>Migration time</w:t>
            </w:r>
          </w:p>
        </w:tc>
        <w:tc>
          <w:tcPr>
            <w:tcW w:type="dxa" w:w="5760"/>
          </w:tcPr>
          <w:p>
            <w:r/>
            <w:r>
              <w:rPr>
                <w:sz w:val="19"/>
              </w:rPr>
              <w:t>13 days</w:t>
            </w:r>
          </w:p>
        </w:tc>
      </w:tr>
      <w:tr>
        <w:tc>
          <w:tcPr>
            <w:tcW w:type="dxa" w:w="3600"/>
            <w:shd w:fill="F5F5F5" w:val="clear"/>
          </w:tcPr>
          <w:p>
            <w:r/>
            <w:r>
              <w:rPr>
                <w:sz w:val="19"/>
              </w:rPr>
              <w:t>Total cost to consultancy</w:t>
            </w:r>
          </w:p>
        </w:tc>
        <w:tc>
          <w:tcPr>
            <w:tcW w:type="dxa" w:w="5760"/>
            <w:shd w:fill="F5F5F5" w:val="clear"/>
          </w:tcPr>
          <w:p>
            <w:r/>
            <w:r>
              <w:rPr>
                <w:sz w:val="19"/>
              </w:rPr>
              <w:t>€11,000 (fixed price)</w:t>
            </w:r>
          </w:p>
        </w:tc>
      </w:tr>
      <w:tr>
        <w:tc>
          <w:tcPr>
            <w:tcW w:type="dxa" w:w="3600"/>
          </w:tcPr>
          <w:p>
            <w:r/>
            <w:r>
              <w:rPr>
                <w:sz w:val="19"/>
              </w:rPr>
              <w:t>Cost savings vs. traditional</w:t>
            </w:r>
          </w:p>
        </w:tc>
        <w:tc>
          <w:tcPr>
            <w:tcW w:type="dxa" w:w="5760"/>
          </w:tcPr>
          <w:p>
            <w:r/>
            <w:r>
              <w:rPr>
                <w:sz w:val="19"/>
              </w:rPr>
              <w:t>67%</w:t>
            </w:r>
          </w:p>
        </w:tc>
      </w:tr>
      <w:tr>
        <w:tc>
          <w:tcPr>
            <w:tcW w:type="dxa" w:w="3600"/>
            <w:shd w:fill="F5F5F5" w:val="clear"/>
          </w:tcPr>
          <w:p>
            <w:r/>
            <w:r>
              <w:rPr>
                <w:sz w:val="19"/>
              </w:rPr>
              <w:t>Consultant hours</w:t>
            </w:r>
          </w:p>
        </w:tc>
        <w:tc>
          <w:tcPr>
            <w:tcW w:type="dxa" w:w="5760"/>
            <w:shd w:fill="F5F5F5" w:val="clear"/>
          </w:tcPr>
          <w:p>
            <w:r/>
            <w:r>
              <w:rPr>
                <w:sz w:val="19"/>
              </w:rPr>
              <w:t>~12 hours</w:t>
            </w:r>
          </w:p>
        </w:tc>
      </w:tr>
      <w:tr>
        <w:tc>
          <w:tcPr>
            <w:tcW w:type="dxa" w:w="3600"/>
          </w:tcPr>
          <w:p>
            <w:r/>
            <w:r>
              <w:rPr>
                <w:sz w:val="19"/>
              </w:rPr>
              <w:t>Offshore developers needed</w:t>
            </w:r>
          </w:p>
        </w:tc>
        <w:tc>
          <w:tcPr>
            <w:tcW w:type="dxa" w:w="5760"/>
          </w:tcPr>
          <w:p>
            <w:r/>
            <w:r>
              <w:rPr>
                <w:sz w:val="19"/>
              </w:rPr>
              <w:t>Zero</w:t>
            </w:r>
          </w:p>
        </w:tc>
      </w:tr>
    </w:tbl>
    <w:p/>
    <w:p>
      <w:pPr>
        <w:pStyle w:val="Heading2"/>
      </w:pPr>
      <w:r>
        <w:t>Timeline Breakdown</w:t>
      </w:r>
    </w:p>
    <w:tbl>
      <w:tblPr>
        <w:tblStyle w:val="TableGrid"/>
        <w:tblW w:type="auto" w:w="0"/>
        <w:jc w:val="left"/>
        <w:tblLook w:firstColumn="1" w:firstRow="1" w:lastColumn="0" w:lastRow="0" w:noHBand="0" w:noVBand="1" w:val="04A0"/>
      </w:tblPr>
      <w:tblGrid>
        <w:gridCol w:w="3135"/>
        <w:gridCol w:w="3135"/>
        <w:gridCol w:w="3135"/>
      </w:tblGrid>
      <w:tr>
        <w:tc>
          <w:tcPr>
            <w:tcW w:type="dxa" w:w="3600"/>
            <w:shd w:fill="1A1A1A" w:val="clear"/>
          </w:tcPr>
          <w:p>
            <w:r/>
            <w:r>
              <w:rPr>
                <w:b/>
                <w:color w:val="FFFFFF"/>
                <w:sz w:val="19"/>
              </w:rPr>
              <w:t>Phase</w:t>
            </w:r>
          </w:p>
        </w:tc>
        <w:tc>
          <w:tcPr>
            <w:tcW w:type="dxa" w:w="1440"/>
            <w:shd w:fill="1A1A1A" w:val="clear"/>
          </w:tcPr>
          <w:p>
            <w:r/>
            <w:r>
              <w:rPr>
                <w:b/>
                <w:color w:val="FFFFFF"/>
                <w:sz w:val="19"/>
              </w:rPr>
              <w:t>Days</w:t>
            </w:r>
          </w:p>
        </w:tc>
        <w:tc>
          <w:tcPr>
            <w:tcW w:type="dxa" w:w="3600"/>
            <w:shd w:fill="1A1A1A" w:val="clear"/>
          </w:tcPr>
          <w:p>
            <w:r/>
            <w:r>
              <w:rPr>
                <w:b/>
                <w:color w:val="FFFFFF"/>
                <w:sz w:val="19"/>
              </w:rPr>
              <w:t>Executed By</w:t>
            </w:r>
          </w:p>
        </w:tc>
      </w:tr>
      <w:tr>
        <w:tc>
          <w:tcPr>
            <w:tcW w:type="dxa" w:w="3600"/>
          </w:tcPr>
          <w:p>
            <w:r/>
            <w:r>
              <w:rPr>
                <w:sz w:val="19"/>
              </w:rPr>
              <w:t>System scan</w:t>
            </w:r>
          </w:p>
        </w:tc>
        <w:tc>
          <w:tcPr>
            <w:tcW w:type="dxa" w:w="1440"/>
          </w:tcPr>
          <w:p>
            <w:r/>
            <w:r>
              <w:rPr>
                <w:sz w:val="19"/>
              </w:rPr>
              <w:t>1</w:t>
            </w:r>
          </w:p>
        </w:tc>
        <w:tc>
          <w:tcPr>
            <w:tcW w:type="dxa" w:w="3600"/>
          </w:tcPr>
          <w:p>
            <w:r/>
            <w:r>
              <w:rPr>
                <w:sz w:val="19"/>
              </w:rPr>
              <w:t>Source AI</w:t>
            </w:r>
          </w:p>
        </w:tc>
      </w:tr>
      <w:tr>
        <w:tc>
          <w:tcPr>
            <w:tcW w:type="dxa" w:w="3600"/>
            <w:shd w:fill="F5F5F5" w:val="clear"/>
          </w:tcPr>
          <w:p>
            <w:r/>
            <w:r>
              <w:rPr>
                <w:sz w:val="19"/>
              </w:rPr>
              <w:t>Analysis</w:t>
            </w:r>
          </w:p>
        </w:tc>
        <w:tc>
          <w:tcPr>
            <w:tcW w:type="dxa" w:w="1440"/>
            <w:shd w:fill="F5F5F5" w:val="clear"/>
          </w:tcPr>
          <w:p>
            <w:r/>
            <w:r>
              <w:rPr>
                <w:sz w:val="19"/>
              </w:rPr>
              <w:t>2</w:t>
            </w:r>
          </w:p>
        </w:tc>
        <w:tc>
          <w:tcPr>
            <w:tcW w:type="dxa" w:w="3600"/>
            <w:shd w:fill="F5F5F5" w:val="clear"/>
          </w:tcPr>
          <w:p>
            <w:r/>
            <w:r>
              <w:rPr>
                <w:sz w:val="19"/>
              </w:rPr>
              <w:t>Source AI</w:t>
            </w:r>
          </w:p>
        </w:tc>
      </w:tr>
      <w:tr>
        <w:tc>
          <w:tcPr>
            <w:tcW w:type="dxa" w:w="3600"/>
          </w:tcPr>
          <w:p>
            <w:r/>
            <w:r>
              <w:rPr>
                <w:sz w:val="19"/>
              </w:rPr>
              <w:t>BRD generation</w:t>
            </w:r>
          </w:p>
        </w:tc>
        <w:tc>
          <w:tcPr>
            <w:tcW w:type="dxa" w:w="1440"/>
          </w:tcPr>
          <w:p>
            <w:r/>
            <w:r>
              <w:rPr>
                <w:sz w:val="19"/>
              </w:rPr>
              <w:t>2</w:t>
            </w:r>
          </w:p>
        </w:tc>
        <w:tc>
          <w:tcPr>
            <w:tcW w:type="dxa" w:w="3600"/>
          </w:tcPr>
          <w:p>
            <w:r/>
            <w:r>
              <w:rPr>
                <w:sz w:val="19"/>
              </w:rPr>
              <w:t>Source AI</w:t>
            </w:r>
          </w:p>
        </w:tc>
      </w:tr>
      <w:tr>
        <w:tc>
          <w:tcPr>
            <w:tcW w:type="dxa" w:w="3600"/>
            <w:shd w:fill="F5F5F5" w:val="clear"/>
          </w:tcPr>
          <w:p>
            <w:r/>
            <w:r>
              <w:rPr>
                <w:sz w:val="19"/>
              </w:rPr>
              <w:t>Configuration</w:t>
            </w:r>
          </w:p>
        </w:tc>
        <w:tc>
          <w:tcPr>
            <w:tcW w:type="dxa" w:w="1440"/>
            <w:shd w:fill="F5F5F5" w:val="clear"/>
          </w:tcPr>
          <w:p>
            <w:r/>
            <w:r>
              <w:rPr>
                <w:sz w:val="19"/>
              </w:rPr>
              <w:t>4</w:t>
            </w:r>
          </w:p>
        </w:tc>
        <w:tc>
          <w:tcPr>
            <w:tcW w:type="dxa" w:w="3600"/>
            <w:shd w:fill="F5F5F5" w:val="clear"/>
          </w:tcPr>
          <w:p>
            <w:r/>
            <w:r>
              <w:rPr>
                <w:sz w:val="19"/>
              </w:rPr>
              <w:t>Source AI</w:t>
            </w:r>
          </w:p>
        </w:tc>
      </w:tr>
      <w:tr>
        <w:tc>
          <w:tcPr>
            <w:tcW w:type="dxa" w:w="3600"/>
          </w:tcPr>
          <w:p>
            <w:r/>
            <w:r>
              <w:rPr>
                <w:sz w:val="19"/>
              </w:rPr>
              <w:t>Migration &amp; QA</w:t>
            </w:r>
          </w:p>
        </w:tc>
        <w:tc>
          <w:tcPr>
            <w:tcW w:type="dxa" w:w="1440"/>
          </w:tcPr>
          <w:p>
            <w:r/>
            <w:r>
              <w:rPr>
                <w:sz w:val="19"/>
              </w:rPr>
              <w:t>3</w:t>
            </w:r>
          </w:p>
        </w:tc>
        <w:tc>
          <w:tcPr>
            <w:tcW w:type="dxa" w:w="3600"/>
          </w:tcPr>
          <w:p>
            <w:r/>
            <w:r>
              <w:rPr>
                <w:sz w:val="19"/>
              </w:rPr>
              <w:t>Source AI</w:t>
            </w:r>
          </w:p>
        </w:tc>
      </w:tr>
      <w:tr>
        <w:tc>
          <w:tcPr>
            <w:tcW w:type="dxa" w:w="3600"/>
            <w:shd w:fill="F5F5F5" w:val="clear"/>
          </w:tcPr>
          <w:p>
            <w:r/>
            <w:r>
              <w:rPr>
                <w:sz w:val="19"/>
              </w:rPr>
              <w:t>Go-live</w:t>
            </w:r>
          </w:p>
        </w:tc>
        <w:tc>
          <w:tcPr>
            <w:tcW w:type="dxa" w:w="1440"/>
            <w:shd w:fill="F5F5F5" w:val="clear"/>
          </w:tcPr>
          <w:p>
            <w:r/>
            <w:r>
              <w:rPr>
                <w:sz w:val="19"/>
              </w:rPr>
              <w:t>1</w:t>
            </w:r>
          </w:p>
        </w:tc>
        <w:tc>
          <w:tcPr>
            <w:tcW w:type="dxa" w:w="3600"/>
            <w:shd w:fill="F5F5F5" w:val="clear"/>
          </w:tcPr>
          <w:p>
            <w:r/>
            <w:r>
              <w:rPr>
                <w:sz w:val="19"/>
              </w:rPr>
              <w:t>Consultant</w:t>
            </w:r>
          </w:p>
        </w:tc>
      </w:tr>
    </w:tbl>
    <w:p/>
    <w:p>
      <w:pPr>
        <w:pStyle w:val="Heading2"/>
      </w:pPr>
      <w:r>
        <w:t>End Client Outcomes</w:t>
      </w:r>
    </w:p>
    <w:p>
      <w:pPr>
        <w:spacing w:after="160"/>
      </w:pPr>
      <w:r>
        <w:rPr>
          <w:sz w:val="22"/>
        </w:rPr>
        <w:t>Beyond the speed and cost improvements for the consultancy, the end client saw immediate operational improvements after migrating to NetSuite:</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1A1A" w:val="clear"/>
          </w:tcPr>
          <w:p>
            <w:r/>
            <w:r>
              <w:rPr>
                <w:b/>
                <w:color w:val="FFFFFF"/>
                <w:sz w:val="19"/>
              </w:rPr>
              <w:t>Area</w:t>
            </w:r>
          </w:p>
        </w:tc>
        <w:tc>
          <w:tcPr>
            <w:tcW w:type="dxa" w:w="3168"/>
            <w:shd w:fill="1A1A1A" w:val="clear"/>
          </w:tcPr>
          <w:p>
            <w:r/>
            <w:r>
              <w:rPr>
                <w:b/>
                <w:color w:val="FFFFFF"/>
                <w:sz w:val="19"/>
              </w:rPr>
              <w:t>Before (QuickBooks)</w:t>
            </w:r>
          </w:p>
        </w:tc>
        <w:tc>
          <w:tcPr>
            <w:tcW w:type="dxa" w:w="3600"/>
            <w:shd w:fill="1A1A1A" w:val="clear"/>
          </w:tcPr>
          <w:p>
            <w:r/>
            <w:r>
              <w:rPr>
                <w:b/>
                <w:color w:val="FFFFFF"/>
                <w:sz w:val="19"/>
              </w:rPr>
              <w:t>After (NetSuite)</w:t>
            </w:r>
          </w:p>
        </w:tc>
      </w:tr>
      <w:tr>
        <w:tc>
          <w:tcPr>
            <w:tcW w:type="dxa" w:w="2592"/>
          </w:tcPr>
          <w:p>
            <w:r/>
            <w:r>
              <w:rPr>
                <w:sz w:val="19"/>
              </w:rPr>
              <w:t>Month-end close</w:t>
            </w:r>
          </w:p>
        </w:tc>
        <w:tc>
          <w:tcPr>
            <w:tcW w:type="dxa" w:w="3168"/>
          </w:tcPr>
          <w:p>
            <w:r/>
            <w:r>
              <w:rPr>
                <w:sz w:val="19"/>
              </w:rPr>
              <w:t>12 days</w:t>
            </w:r>
          </w:p>
        </w:tc>
        <w:tc>
          <w:tcPr>
            <w:tcW w:type="dxa" w:w="3600"/>
          </w:tcPr>
          <w:p>
            <w:r/>
            <w:r>
              <w:rPr>
                <w:sz w:val="19"/>
              </w:rPr>
              <w:t>3 days</w:t>
            </w:r>
          </w:p>
        </w:tc>
      </w:tr>
      <w:tr>
        <w:tc>
          <w:tcPr>
            <w:tcW w:type="dxa" w:w="2592"/>
            <w:shd w:fill="F5F5F5" w:val="clear"/>
          </w:tcPr>
          <w:p>
            <w:r/>
            <w:r>
              <w:rPr>
                <w:sz w:val="19"/>
              </w:rPr>
              <w:t>Inventory sync</w:t>
            </w:r>
          </w:p>
        </w:tc>
        <w:tc>
          <w:tcPr>
            <w:tcW w:type="dxa" w:w="3168"/>
            <w:shd w:fill="F5F5F5" w:val="clear"/>
          </w:tcPr>
          <w:p>
            <w:r/>
            <w:r>
              <w:rPr>
                <w:sz w:val="19"/>
              </w:rPr>
              <w:t>Manual / daily</w:t>
            </w:r>
          </w:p>
        </w:tc>
        <w:tc>
          <w:tcPr>
            <w:tcW w:type="dxa" w:w="3600"/>
            <w:shd w:fill="F5F5F5" w:val="clear"/>
          </w:tcPr>
          <w:p>
            <w:r/>
            <w:r>
              <w:rPr>
                <w:sz w:val="19"/>
              </w:rPr>
              <w:t>Real-time</w:t>
            </w:r>
          </w:p>
        </w:tc>
      </w:tr>
      <w:tr>
        <w:tc>
          <w:tcPr>
            <w:tcW w:type="dxa" w:w="2592"/>
          </w:tcPr>
          <w:p>
            <w:r/>
            <w:r>
              <w:rPr>
                <w:sz w:val="19"/>
              </w:rPr>
              <w:t>Channel visibility</w:t>
            </w:r>
          </w:p>
        </w:tc>
        <w:tc>
          <w:tcPr>
            <w:tcW w:type="dxa" w:w="3168"/>
          </w:tcPr>
          <w:p>
            <w:r/>
            <w:r>
              <w:rPr>
                <w:sz w:val="19"/>
              </w:rPr>
              <w:t>Spreadsheets</w:t>
            </w:r>
          </w:p>
        </w:tc>
        <w:tc>
          <w:tcPr>
            <w:tcW w:type="dxa" w:w="3600"/>
          </w:tcPr>
          <w:p>
            <w:r/>
            <w:r>
              <w:rPr>
                <w:sz w:val="19"/>
              </w:rPr>
              <w:t>Unified dashboard</w:t>
            </w:r>
          </w:p>
        </w:tc>
      </w:tr>
      <w:tr>
        <w:tc>
          <w:tcPr>
            <w:tcW w:type="dxa" w:w="2592"/>
            <w:shd w:fill="F5F5F5" w:val="clear"/>
          </w:tcPr>
          <w:p>
            <w:r/>
            <w:r>
              <w:rPr>
                <w:sz w:val="19"/>
              </w:rPr>
              <w:t>International support</w:t>
            </w:r>
          </w:p>
        </w:tc>
        <w:tc>
          <w:tcPr>
            <w:tcW w:type="dxa" w:w="3168"/>
            <w:shd w:fill="F5F5F5" w:val="clear"/>
          </w:tcPr>
          <w:p>
            <w:r/>
            <w:r>
              <w:rPr>
                <w:sz w:val="19"/>
              </w:rPr>
              <w:t>Not possible</w:t>
            </w:r>
          </w:p>
        </w:tc>
        <w:tc>
          <w:tcPr>
            <w:tcW w:type="dxa" w:w="3600"/>
            <w:shd w:fill="F5F5F5" w:val="clear"/>
          </w:tcPr>
          <w:p>
            <w:r/>
            <w:r>
              <w:rPr>
                <w:sz w:val="19"/>
              </w:rPr>
              <w:t>Multi-currency ready</w:t>
            </w:r>
          </w:p>
        </w:tc>
      </w:tr>
      <w:tr>
        <w:tc>
          <w:tcPr>
            <w:tcW w:type="dxa" w:w="2592"/>
          </w:tcPr>
          <w:p>
            <w:r/>
            <w:r>
              <w:rPr>
                <w:sz w:val="19"/>
              </w:rPr>
              <w:t>Reporting</w:t>
            </w:r>
          </w:p>
        </w:tc>
        <w:tc>
          <w:tcPr>
            <w:tcW w:type="dxa" w:w="3168"/>
          </w:tcPr>
          <w:p>
            <w:r/>
            <w:r>
              <w:rPr>
                <w:sz w:val="19"/>
              </w:rPr>
              <w:t>48hr manual exports</w:t>
            </w:r>
          </w:p>
        </w:tc>
        <w:tc>
          <w:tcPr>
            <w:tcW w:type="dxa" w:w="3600"/>
          </w:tcPr>
          <w:p>
            <w:r/>
            <w:r>
              <w:rPr>
                <w:sz w:val="19"/>
              </w:rPr>
              <w:t>Live dashboards</w:t>
            </w:r>
          </w:p>
        </w:tc>
      </w:tr>
      <w:tr>
        <w:tc>
          <w:tcPr>
            <w:tcW w:type="dxa" w:w="2592"/>
            <w:shd w:fill="F5F5F5" w:val="clear"/>
          </w:tcPr>
          <w:p>
            <w:r/>
            <w:r>
              <w:rPr>
                <w:sz w:val="19"/>
              </w:rPr>
              <w:t>Audit trail</w:t>
            </w:r>
          </w:p>
        </w:tc>
        <w:tc>
          <w:tcPr>
            <w:tcW w:type="dxa" w:w="3168"/>
            <w:shd w:fill="F5F5F5" w:val="clear"/>
          </w:tcPr>
          <w:p>
            <w:r/>
            <w:r>
              <w:rPr>
                <w:sz w:val="19"/>
              </w:rPr>
              <w:t>Fragmented logs</w:t>
            </w:r>
          </w:p>
        </w:tc>
        <w:tc>
          <w:tcPr>
            <w:tcW w:type="dxa" w:w="3600"/>
            <w:shd w:fill="F5F5F5" w:val="clear"/>
          </w:tcPr>
          <w:p>
            <w:r/>
            <w:r>
              <w:rPr>
                <w:sz w:val="19"/>
              </w:rPr>
              <w:t>Fully automated</w:t>
            </w:r>
          </w:p>
        </w:tc>
      </w:tr>
    </w:tbl>
    <w:p/>
    <w:p>
      <w:pPr>
        <w:pStyle w:val="Heading2"/>
      </w:pPr>
      <w:r>
        <w:t>Partner Testimonial</w:t>
      </w:r>
    </w:p>
    <w:p>
      <w:pPr>
        <w:spacing w:before="200" w:after="120"/>
        <w:ind w:left="567"/>
      </w:pPr>
      <w:r>
        <w:rPr>
          <w:i/>
          <w:color w:val="333333"/>
          <w:sz w:val="22"/>
        </w:rPr>
        <w:t>“We quoted €14K fixed-price and delivered in under three weeks. Our old model would have been €35K over four months with an offshore team. Source handled the technical execution — we kept the client relationship and made 50%+ margins.”</w:t>
      </w:r>
    </w:p>
    <w:p>
      <w:pPr>
        <w:ind w:left="567"/>
      </w:pPr>
      <w:r>
        <w:rPr>
          <w:color w:val="666666"/>
          <w:sz w:val="20"/>
        </w:rPr>
        <w:t>— Managing Director, Wild Tech — NetSuite Solution Provider, Australia</w:t>
      </w:r>
    </w:p>
    <w:p>
      <w:pPr>
        <w:spacing w:before="200" w:after="200"/>
        <w:pBdr>
          <w:bottom w:val="single" w:sz="6" w:space="1" w:color="CCCCCC"/>
        </w:pBdr>
      </w:pPr>
    </w:p>
    <w:p>
      <w:pPr>
        <w:pStyle w:val="Heading1"/>
      </w:pPr>
      <w:r>
        <w:t>Supported Migration Paths</w:t>
      </w:r>
    </w:p>
    <w:p>
      <w:pPr>
        <w:spacing w:after="160"/>
      </w:pPr>
      <w:r>
        <w:rPr>
          <w:sz w:val="22"/>
        </w:rPr>
        <w:t>Source currently supports the most common mid-market migration paths. These cover the majority of ERP migrations in the market — NetSuite alone sees approximately 22,000 new customers per year, and 55% of those come from QuickBooks.</w:t>
      </w:r>
    </w:p>
    <w:p>
      <w:pPr>
        <w:pStyle w:val="Heading2"/>
      </w:pPr>
      <w:r>
        <w:t>Live Today</w:t>
      </w:r>
    </w:p>
    <w:tbl>
      <w:tblPr>
        <w:tblStyle w:val="TableGrid"/>
        <w:tblW w:type="auto" w:w="0"/>
        <w:jc w:val="left"/>
        <w:tblLook w:firstColumn="1" w:firstRow="1" w:lastColumn="0" w:lastRow="0" w:noHBand="0" w:noVBand="1" w:val="04A0"/>
      </w:tblPr>
      <w:tblGrid>
        <w:gridCol w:w="3135"/>
        <w:gridCol w:w="3135"/>
        <w:gridCol w:w="3135"/>
      </w:tblGrid>
      <w:tr>
        <w:tc>
          <w:tcPr>
            <w:tcW w:type="dxa" w:w="2160"/>
            <w:shd w:fill="1A1A1A" w:val="clear"/>
          </w:tcPr>
          <w:p>
            <w:r/>
            <w:r>
              <w:rPr>
                <w:b/>
                <w:color w:val="FFFFFF"/>
                <w:sz w:val="19"/>
              </w:rPr>
              <w:t>From</w:t>
            </w:r>
          </w:p>
        </w:tc>
        <w:tc>
          <w:tcPr>
            <w:tcW w:type="dxa" w:w="3312"/>
            <w:shd w:fill="1A1A1A" w:val="clear"/>
          </w:tcPr>
          <w:p>
            <w:r/>
            <w:r>
              <w:rPr>
                <w:b/>
                <w:color w:val="FFFFFF"/>
                <w:sz w:val="19"/>
              </w:rPr>
              <w:t>To</w:t>
            </w:r>
          </w:p>
        </w:tc>
        <w:tc>
          <w:tcPr>
            <w:tcW w:type="dxa" w:w="4320"/>
            <w:shd w:fill="1A1A1A" w:val="clear"/>
          </w:tcPr>
          <w:p>
            <w:r/>
            <w:r>
              <w:rPr>
                <w:b/>
                <w:color w:val="FFFFFF"/>
                <w:sz w:val="19"/>
              </w:rPr>
              <w:t>Integrations Supported</w:t>
            </w:r>
          </w:p>
        </w:tc>
      </w:tr>
      <w:tr>
        <w:tc>
          <w:tcPr>
            <w:tcW w:type="dxa" w:w="2160"/>
          </w:tcPr>
          <w:p>
            <w:r/>
            <w:r>
              <w:rPr>
                <w:sz w:val="19"/>
              </w:rPr>
              <w:t>QuickBooks</w:t>
            </w:r>
          </w:p>
        </w:tc>
        <w:tc>
          <w:tcPr>
            <w:tcW w:type="dxa" w:w="3312"/>
          </w:tcPr>
          <w:p>
            <w:r/>
            <w:r>
              <w:rPr>
                <w:sz w:val="19"/>
              </w:rPr>
              <w:t>NetSuite</w:t>
            </w:r>
          </w:p>
        </w:tc>
        <w:tc>
          <w:tcPr>
            <w:tcW w:type="dxa" w:w="4320"/>
          </w:tcPr>
          <w:p>
            <w:r/>
            <w:r>
              <w:rPr>
                <w:sz w:val="19"/>
              </w:rPr>
              <w:t>Shopify, HubSpot, Stripe, + 100s more</w:t>
            </w:r>
          </w:p>
        </w:tc>
      </w:tr>
      <w:tr>
        <w:tc>
          <w:tcPr>
            <w:tcW w:type="dxa" w:w="2160"/>
            <w:shd w:fill="F5F5F5" w:val="clear"/>
          </w:tcPr>
          <w:p>
            <w:r/>
            <w:r>
              <w:rPr>
                <w:sz w:val="19"/>
              </w:rPr>
              <w:t>Xero</w:t>
            </w:r>
          </w:p>
        </w:tc>
        <w:tc>
          <w:tcPr>
            <w:tcW w:type="dxa" w:w="3312"/>
            <w:shd w:fill="F5F5F5" w:val="clear"/>
          </w:tcPr>
          <w:p>
            <w:r/>
            <w:r>
              <w:rPr>
                <w:sz w:val="19"/>
              </w:rPr>
              <w:t>NetSuite</w:t>
            </w:r>
          </w:p>
        </w:tc>
        <w:tc>
          <w:tcPr>
            <w:tcW w:type="dxa" w:w="4320"/>
            <w:shd w:fill="F5F5F5" w:val="clear"/>
          </w:tcPr>
          <w:p>
            <w:r/>
            <w:r>
              <w:rPr>
                <w:sz w:val="19"/>
              </w:rPr>
              <w:t>Stripe, PayPal, + 100s more</w:t>
            </w:r>
          </w:p>
        </w:tc>
      </w:tr>
      <w:tr>
        <w:tc>
          <w:tcPr>
            <w:tcW w:type="dxa" w:w="2160"/>
          </w:tcPr>
          <w:p>
            <w:r/>
            <w:r>
              <w:rPr>
                <w:sz w:val="19"/>
              </w:rPr>
              <w:t>QuickBooks</w:t>
            </w:r>
          </w:p>
        </w:tc>
        <w:tc>
          <w:tcPr>
            <w:tcW w:type="dxa" w:w="3312"/>
          </w:tcPr>
          <w:p>
            <w:r/>
            <w:r>
              <w:rPr>
                <w:sz w:val="19"/>
              </w:rPr>
              <w:t>Dynamics 365 / Business Central</w:t>
            </w:r>
          </w:p>
        </w:tc>
        <w:tc>
          <w:tcPr>
            <w:tcW w:type="dxa" w:w="4320"/>
          </w:tcPr>
          <w:p>
            <w:r/>
            <w:r>
              <w:rPr>
                <w:sz w:val="19"/>
              </w:rPr>
              <w:t>Salesforce, SharePoint, + 100s more</w:t>
            </w:r>
          </w:p>
        </w:tc>
      </w:tr>
    </w:tbl>
    <w:p/>
    <w:p>
      <w:pPr>
        <w:spacing w:after="160"/>
      </w:pPr>
      <w:r>
        <w:rPr>
          <w:sz w:val="22"/>
        </w:rPr>
        <w:t>These migrations are not standalone — mid-market companies typically have multiple systems, integrations, and workflows attached to their core accounting system. Source handles the integrations as well: Shopify e-commerce connectors, HubSpot CRM syncs, Stripe payment data, and hundreds of other common integrations.</w:t>
      </w:r>
    </w:p>
    <w:p>
      <w:pPr>
        <w:spacing w:after="160"/>
      </w:pPr>
      <w:r>
        <w:rPr>
          <w:sz w:val="22"/>
        </w:rPr>
        <w:t>Source has found that Xero was relatively straightforward to support compared to QuickBooks, which tends to have more complex and messy data structures. The next expansion targets include MYOB (which dominates the legacy market in Australia), Acumatica, Freshbooks, Zoho Books, DEAR Systems, Reckon, Wave, and custom or legacy on-premise ERPs. The long-term vision is “Anything → NetSuite.”</w:t>
      </w:r>
    </w:p>
    <w:p>
      <w:pPr>
        <w:spacing w:before="200" w:after="200"/>
        <w:pBdr>
          <w:bottom w:val="single" w:sz="6" w:space="1" w:color="CCCCCC"/>
        </w:pBdr>
      </w:pPr>
    </w:p>
    <w:p>
      <w:pPr>
        <w:pStyle w:val="Heading1"/>
      </w:pPr>
      <w:r>
        <w:t>Why Consultancies Partner with Source AI</w:t>
      </w:r>
    </w:p>
    <w:p>
      <w:pPr>
        <w:spacing w:after="160"/>
      </w:pPr>
      <w:r>
        <w:rPr>
          <w:sz w:val="22"/>
        </w:rPr>
        <w:t>Source AI does not replace your consultancy. It makes every engagement more profitable, faster, and more scalable. The value proposition breaks down into six concrete benefits:</w:t>
      </w:r>
    </w:p>
    <w:p>
      <w:pPr>
        <w:pStyle w:val="Heading2"/>
      </w:pPr>
      <w:r>
        <w:t>1. Make More Money</w:t>
      </w:r>
    </w:p>
    <w:p>
      <w:pPr>
        <w:spacing w:after="160"/>
      </w:pPr>
      <w:r>
        <w:rPr>
          <w:sz w:val="22"/>
        </w:rPr>
        <w:t>Traditional mid-market migration margins sit at 20–30%. With Source, consultants regularly achieve 50%+ margins on migration projects. The reason is simple: AI execution eliminates the need for offshore teams, solutions architects, and months of billable overhead. The consultancy keeps the commercial upside while Source absorbs the delivery cost.</w:t>
      </w:r>
    </w:p>
    <w:p>
      <w:pPr>
        <w:pStyle w:val="Heading2"/>
      </w:pPr>
      <w:r>
        <w:t>2. Happier Customers</w:t>
      </w:r>
    </w:p>
    <w:p>
      <w:pPr>
        <w:spacing w:after="160"/>
      </w:pPr>
      <w:r>
        <w:rPr>
          <w:sz w:val="22"/>
        </w:rPr>
        <w:t>Migrations that used to take 4–6 months now complete in under 21 days. Faster delivery means fewer revision cycles, fewer surprises, and a client who gets to their new system while the momentum from the buying decision is still fresh. Every deliverable comes with validated artifacts — the consultant presents proof, not promises.</w:t>
      </w:r>
    </w:p>
    <w:p>
      <w:pPr>
        <w:pStyle w:val="Heading2"/>
      </w:pPr>
      <w:r>
        <w:t>3. Fixed-Price Deals</w:t>
      </w:r>
    </w:p>
    <w:p>
      <w:pPr>
        <w:spacing w:after="160"/>
      </w:pPr>
      <w:r>
        <w:rPr>
          <w:sz w:val="22"/>
        </w:rPr>
        <w:t>Because Source provides a fixed-price quote to the consultancy after the initial system scan, the consultant knows exactly what the migration will cost before quoting the client. This makes fixed-price proposals possible — something most consultancies avoid because of scope creep risk. With Source, scope creep is caught by the AI during the system scan, not discovered mid-build.</w:t>
      </w:r>
    </w:p>
    <w:p>
      <w:pPr>
        <w:pStyle w:val="Heading2"/>
      </w:pPr>
      <w:r>
        <w:t>4. Scale Without Hiring</w:t>
      </w:r>
    </w:p>
    <w:p>
      <w:pPr>
        <w:spacing w:after="160"/>
      </w:pPr>
      <w:r>
        <w:rPr>
          <w:sz w:val="22"/>
        </w:rPr>
        <w:t>A consultancy can grow its migration practice without recruiting, onboarding, or managing offshore development teams. Source runs autonomously. There are zero new hires needed to double or triple migration throughput.</w:t>
      </w:r>
    </w:p>
    <w:p>
      <w:pPr>
        <w:pStyle w:val="Heading2"/>
      </w:pPr>
      <w:r>
        <w:t>5. Win More Deals</w:t>
      </w:r>
    </w:p>
    <w:p>
      <w:pPr>
        <w:spacing w:after="160"/>
      </w:pPr>
      <w:r>
        <w:rPr>
          <w:sz w:val="22"/>
        </w:rPr>
        <w:t>When competitors are quoting $30K–$40K for a migration, a Source-powered consultancy can quote $8K–$15K and still keep 50%+ margins. The consultancy wins on price, wins on speed, and wins on the ability to offer a fixed-price guarantee. It is a fundamentally different competitive position.</w:t>
      </w:r>
    </w:p>
    <w:p>
      <w:pPr>
        <w:pStyle w:val="Heading2"/>
      </w:pPr>
      <w:r>
        <w:t>6. White Label Delivery</w:t>
      </w:r>
    </w:p>
    <w:p>
      <w:pPr>
        <w:spacing w:after="160"/>
      </w:pPr>
      <w:r>
        <w:rPr>
          <w:sz w:val="22"/>
        </w:rPr>
        <w:t>Everything Source produces is delivered under the consultancy’s brand. Client-facing questionnaires appear on the consultancy’s domain, with the consultancy’s logo, colour scheme, and consultant names as authors. No Source AI branding is visible to the end client. The consultancy comes across as a highly efficient, fast-moving firm.</w:t>
      </w:r>
    </w:p>
    <w:p>
      <w:pPr>
        <w:spacing w:before="200" w:after="200"/>
        <w:pBdr>
          <w:bottom w:val="single" w:sz="6" w:space="1" w:color="CCCCCC"/>
        </w:pBdr>
      </w:pPr>
    </w:p>
    <w:p>
      <w:pPr>
        <w:pStyle w:val="Heading1"/>
      </w:pPr>
      <w:r>
        <w:t>Pricing and Partnership Model</w:t>
      </w:r>
    </w:p>
    <w:p>
      <w:pPr>
        <w:spacing w:after="160"/>
      </w:pPr>
      <w:r>
        <w:rPr>
          <w:sz w:val="22"/>
        </w:rPr>
        <w:t>Source AI partners with ERP consultancies on a simple, transparent model. The economics are designed so that both parties make significantly more money than the traditional delivery model allows.</w:t>
      </w:r>
    </w:p>
    <w:p>
      <w:pPr>
        <w:pStyle w:val="Heading2"/>
      </w:pPr>
      <w:r>
        <w:t>How It Works</w:t>
      </w:r>
    </w:p>
    <w:p>
      <w:pPr>
        <w:spacing w:after="160"/>
      </w:pPr>
      <w:r>
        <w:rPr>
          <w:b/>
          <w:sz w:val="22"/>
        </w:rPr>
        <w:t>The first migration is free.</w:t>
      </w:r>
    </w:p>
    <w:p>
      <w:pPr>
        <w:spacing w:after="160"/>
      </w:pPr>
      <w:r>
        <w:rPr>
          <w:sz w:val="22"/>
        </w:rPr>
        <w:t>Source provides the first migration at no cost and no commitment. This allows the consultancy to see the quality of Source’s output on a real engagement before making any financial commitment.</w:t>
      </w:r>
    </w:p>
    <w:p>
      <w:pPr>
        <w:spacing w:after="160"/>
      </w:pPr>
      <w:r>
        <w:rPr>
          <w:sz w:val="22"/>
        </w:rPr>
        <w:t>After the first migration, Source operates on a revenue share model. Source provides a fixed price to the consultancy for each migration. The consultancy marks it up however they choose and quotes the end client. The consultancy keeps the margin.</w:t>
      </w:r>
    </w:p>
    <w:p>
      <w:pPr>
        <w:pStyle w:val="Heading2"/>
      </w:pPr>
      <w:r>
        <w:t>Example Economics</w:t>
      </w:r>
    </w:p>
    <w:p>
      <w:pPr>
        <w:spacing w:after="160"/>
      </w:pPr>
      <w:r>
        <w:rPr>
          <w:sz w:val="22"/>
        </w:rPr>
        <w:t>On a traditional $30K migration, a consultancy nets approximately $6K profit (20% margin) after accounting for sales costs, PM overhead, offshore teams, and implementation time.</w:t>
      </w:r>
    </w:p>
    <w:p>
      <w:pPr>
        <w:spacing w:after="160"/>
      </w:pPr>
      <w:r>
        <w:rPr>
          <w:sz w:val="22"/>
        </w:rPr>
        <w:t>With Source, the consultant quotes the client $15K for the same migration. Source’s fixed-price cost might be $4,500. The consultant keeps $10,500 — with roughly 12 hours of human work instead of 80–130 hours. That’s a 70% margin instead of 20%. The client saves $15K+ and gets it done in weeks instead of months. Everyone wins.</w:t>
      </w:r>
    </w:p>
    <w:p>
      <w:pPr>
        <w:pStyle w:val="Heading2"/>
      </w:pPr>
      <w:r>
        <w:t>Traditional vs. Source AI Comparison</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1A1A" w:val="clear"/>
          </w:tcPr>
          <w:p>
            <w:r/>
            <w:r>
              <w:rPr>
                <w:b/>
                <w:color w:val="FFFFFF"/>
                <w:sz w:val="19"/>
              </w:rPr>
            </w:r>
          </w:p>
        </w:tc>
        <w:tc>
          <w:tcPr>
            <w:tcW w:type="dxa" w:w="3168"/>
            <w:shd w:fill="1A1A1A" w:val="clear"/>
          </w:tcPr>
          <w:p>
            <w:r/>
            <w:r>
              <w:rPr>
                <w:b/>
                <w:color w:val="FFFFFF"/>
                <w:sz w:val="19"/>
              </w:rPr>
              <w:t>Traditional</w:t>
            </w:r>
          </w:p>
        </w:tc>
        <w:tc>
          <w:tcPr>
            <w:tcW w:type="dxa" w:w="3888"/>
            <w:shd w:fill="1A1A1A" w:val="clear"/>
          </w:tcPr>
          <w:p>
            <w:r/>
            <w:r>
              <w:rPr>
                <w:b/>
                <w:color w:val="FFFFFF"/>
                <w:sz w:val="19"/>
              </w:rPr>
              <w:t>With Source AI</w:t>
            </w:r>
          </w:p>
        </w:tc>
      </w:tr>
      <w:tr>
        <w:tc>
          <w:tcPr>
            <w:tcW w:type="dxa" w:w="2592"/>
          </w:tcPr>
          <w:p>
            <w:r/>
            <w:r>
              <w:rPr>
                <w:sz w:val="19"/>
              </w:rPr>
              <w:t>Timeline</w:t>
            </w:r>
          </w:p>
        </w:tc>
        <w:tc>
          <w:tcPr>
            <w:tcW w:type="dxa" w:w="3168"/>
          </w:tcPr>
          <w:p>
            <w:r/>
            <w:r>
              <w:rPr>
                <w:sz w:val="19"/>
              </w:rPr>
              <w:t>6–12+ months</w:t>
            </w:r>
          </w:p>
        </w:tc>
        <w:tc>
          <w:tcPr>
            <w:tcW w:type="dxa" w:w="3888"/>
          </w:tcPr>
          <w:p>
            <w:r/>
            <w:r>
              <w:rPr>
                <w:sz w:val="19"/>
              </w:rPr>
              <w:t>Sub 21 days</w:t>
            </w:r>
          </w:p>
        </w:tc>
      </w:tr>
      <w:tr>
        <w:tc>
          <w:tcPr>
            <w:tcW w:type="dxa" w:w="2592"/>
            <w:shd w:fill="F5F5F5" w:val="clear"/>
          </w:tcPr>
          <w:p>
            <w:r/>
            <w:r>
              <w:rPr>
                <w:sz w:val="19"/>
              </w:rPr>
              <w:t>Typical cost to client</w:t>
            </w:r>
          </w:p>
        </w:tc>
        <w:tc>
          <w:tcPr>
            <w:tcW w:type="dxa" w:w="3168"/>
            <w:shd w:fill="F5F5F5" w:val="clear"/>
          </w:tcPr>
          <w:p>
            <w:r/>
            <w:r>
              <w:rPr>
                <w:sz w:val="19"/>
              </w:rPr>
              <w:t>$30K–$40K</w:t>
            </w:r>
          </w:p>
        </w:tc>
        <w:tc>
          <w:tcPr>
            <w:tcW w:type="dxa" w:w="3888"/>
            <w:shd w:fill="F5F5F5" w:val="clear"/>
          </w:tcPr>
          <w:p>
            <w:r/>
            <w:r>
              <w:rPr>
                <w:sz w:val="19"/>
              </w:rPr>
              <w:t>$8K–$15K</w:t>
            </w:r>
          </w:p>
        </w:tc>
      </w:tr>
      <w:tr>
        <w:tc>
          <w:tcPr>
            <w:tcW w:type="dxa" w:w="2592"/>
          </w:tcPr>
          <w:p>
            <w:r/>
            <w:r>
              <w:rPr>
                <w:sz w:val="19"/>
              </w:rPr>
              <w:t>BRD revisions</w:t>
            </w:r>
          </w:p>
        </w:tc>
        <w:tc>
          <w:tcPr>
            <w:tcW w:type="dxa" w:w="3168"/>
          </w:tcPr>
          <w:p>
            <w:r/>
            <w:r>
              <w:rPr>
                <w:sz w:val="19"/>
              </w:rPr>
              <w:t>3–5 cycles, weeks of delay</w:t>
            </w:r>
          </w:p>
        </w:tc>
        <w:tc>
          <w:tcPr>
            <w:tcW w:type="dxa" w:w="3888"/>
          </w:tcPr>
          <w:p>
            <w:r/>
            <w:r>
              <w:rPr>
                <w:sz w:val="19"/>
              </w:rPr>
              <w:t>AI-generated, instant updates</w:t>
            </w:r>
          </w:p>
        </w:tc>
      </w:tr>
      <w:tr>
        <w:tc>
          <w:tcPr>
            <w:tcW w:type="dxa" w:w="2592"/>
            <w:shd w:fill="F5F5F5" w:val="clear"/>
          </w:tcPr>
          <w:p>
            <w:r/>
            <w:r>
              <w:rPr>
                <w:sz w:val="19"/>
              </w:rPr>
              <w:t>Scope creep risk</w:t>
            </w:r>
          </w:p>
        </w:tc>
        <w:tc>
          <w:tcPr>
            <w:tcW w:type="dxa" w:w="3168"/>
            <w:shd w:fill="F5F5F5" w:val="clear"/>
          </w:tcPr>
          <w:p>
            <w:r/>
            <w:r>
              <w:rPr>
                <w:sz w:val="19"/>
              </w:rPr>
              <w:t>High — discovered mid-build</w:t>
            </w:r>
          </w:p>
        </w:tc>
        <w:tc>
          <w:tcPr>
            <w:tcW w:type="dxa" w:w="3888"/>
            <w:shd w:fill="F5F5F5" w:val="clear"/>
          </w:tcPr>
          <w:p>
            <w:r/>
            <w:r>
              <w:rPr>
                <w:sz w:val="19"/>
              </w:rPr>
              <w:t>Low — AI system scan upfront</w:t>
            </w:r>
          </w:p>
        </w:tc>
      </w:tr>
      <w:tr>
        <w:tc>
          <w:tcPr>
            <w:tcW w:type="dxa" w:w="2592"/>
          </w:tcPr>
          <w:p>
            <w:r/>
            <w:r>
              <w:rPr>
                <w:sz w:val="19"/>
              </w:rPr>
              <w:t>Offshore team ramp-up</w:t>
            </w:r>
          </w:p>
        </w:tc>
        <w:tc>
          <w:tcPr>
            <w:tcW w:type="dxa" w:w="3168"/>
          </w:tcPr>
          <w:p>
            <w:r/>
            <w:r>
              <w:rPr>
                <w:sz w:val="19"/>
              </w:rPr>
              <w:t>2–6 weeks onboarding</w:t>
            </w:r>
          </w:p>
        </w:tc>
        <w:tc>
          <w:tcPr>
            <w:tcW w:type="dxa" w:w="3888"/>
          </w:tcPr>
          <w:p>
            <w:r/>
            <w:r>
              <w:rPr>
                <w:sz w:val="19"/>
              </w:rPr>
              <w:t>No team needed</w:t>
            </w:r>
          </w:p>
        </w:tc>
      </w:tr>
      <w:tr>
        <w:tc>
          <w:tcPr>
            <w:tcW w:type="dxa" w:w="2592"/>
            <w:shd w:fill="F5F5F5" w:val="clear"/>
          </w:tcPr>
          <w:p>
            <w:r/>
            <w:r>
              <w:rPr>
                <w:sz w:val="19"/>
              </w:rPr>
              <w:t>Client satisfaction</w:t>
            </w:r>
          </w:p>
        </w:tc>
        <w:tc>
          <w:tcPr>
            <w:tcW w:type="dxa" w:w="3168"/>
            <w:shd w:fill="F5F5F5" w:val="clear"/>
          </w:tcPr>
          <w:p>
            <w:r/>
            <w:r>
              <w:rPr>
                <w:sz w:val="19"/>
              </w:rPr>
              <w:t>Frustrated by delays &amp; overruns</w:t>
            </w:r>
          </w:p>
        </w:tc>
        <w:tc>
          <w:tcPr>
            <w:tcW w:type="dxa" w:w="3888"/>
            <w:shd w:fill="F5F5F5" w:val="clear"/>
          </w:tcPr>
          <w:p>
            <w:r/>
            <w:r>
              <w:rPr>
                <w:sz w:val="19"/>
              </w:rPr>
              <w:t>Fast, transparent, fewer surprises</w:t>
            </w:r>
          </w:p>
        </w:tc>
      </w:tr>
      <w:tr>
        <w:tc>
          <w:tcPr>
            <w:tcW w:type="dxa" w:w="2592"/>
          </w:tcPr>
          <w:p>
            <w:r/>
            <w:r>
              <w:rPr>
                <w:sz w:val="19"/>
              </w:rPr>
              <w:t>Pricing model</w:t>
            </w:r>
          </w:p>
        </w:tc>
        <w:tc>
          <w:tcPr>
            <w:tcW w:type="dxa" w:w="3168"/>
          </w:tcPr>
          <w:p>
            <w:r/>
            <w:r>
              <w:rPr>
                <w:sz w:val="19"/>
              </w:rPr>
              <w:t>T&amp;M — unpredictable bills</w:t>
            </w:r>
          </w:p>
        </w:tc>
        <w:tc>
          <w:tcPr>
            <w:tcW w:type="dxa" w:w="3888"/>
          </w:tcPr>
          <w:p>
            <w:r/>
            <w:r>
              <w:rPr>
                <w:sz w:val="19"/>
              </w:rPr>
              <w:t>Fixed price — locked quote upfront</w:t>
            </w:r>
          </w:p>
        </w:tc>
      </w:tr>
    </w:tbl>
    <w:p/>
    <w:p>
      <w:pPr>
        <w:spacing w:before="200" w:after="200"/>
        <w:pBdr>
          <w:bottom w:val="single" w:sz="6" w:space="1" w:color="CCCCCC"/>
        </w:pBdr>
      </w:pPr>
    </w:p>
    <w:p>
      <w:pPr>
        <w:pStyle w:val="Heading1"/>
      </w:pPr>
      <w:r>
        <w:t>Market Context: AI and the Future of ERP</w:t>
      </w:r>
    </w:p>
    <w:p>
      <w:pPr>
        <w:spacing w:after="160"/>
      </w:pPr>
      <w:r>
        <w:rPr>
          <w:sz w:val="22"/>
        </w:rPr>
        <w:t>The ERP industry is at an inflection point. AI has been, in the words of one senior Australian ERP consultant, “a real game changer” in the last 12–18 months — both in how consulting work is delivered and in what the ERP vendors themselves are building.</w:t>
      </w:r>
    </w:p>
    <w:p>
      <w:pPr>
        <w:spacing w:after="160"/>
      </w:pPr>
      <w:r>
        <w:rPr>
          <w:sz w:val="22"/>
        </w:rPr>
        <w:t>The most significant development is around Model Context Protocol (MCP) connectors, which allow companies to bring their own AI agent and connect it directly to an ERP database. Microsoft Dynamics is pushing MCP aggressively, with impressive live demos already in the market. NetSuite has a broad product portfolio but its AI timelines — targeting late 2026 — feel slow to many in the industry. Other vendors are attempting to build AI directly into their platforms with varying degrees of success, and there is a growing concern about technical debt in features that may be irrelevant within six months.</w:t>
      </w:r>
    </w:p>
    <w:p>
      <w:pPr>
        <w:spacing w:after="160"/>
      </w:pPr>
      <w:r>
        <w:rPr>
          <w:sz w:val="22"/>
        </w:rPr>
        <w:t>The consensus among forward-thinking ERP consultants is that the traditional SaaS licensing model is going to be “challenged in a pretty significant way.” The question being asked is: if an IT director with basic prompting skills can spin up an ERP system in two to three years, where do these platforms find their value? The vendors that do not move fast enough will be left behind.</w:t>
      </w:r>
    </w:p>
    <w:p>
      <w:pPr>
        <w:spacing w:after="160"/>
      </w:pPr>
      <w:r>
        <w:rPr>
          <w:sz w:val="22"/>
        </w:rPr>
        <w:t>There is nuance, of course. Some functional areas — particularly warehousing, WMS, and shop-floor operations — still require traditional interfaces. But for finance teams, reporting, sales, customer service, and most back-office functions, the industry expects significant change in the near term.</w:t>
      </w:r>
    </w:p>
    <w:p>
      <w:pPr>
        <w:spacing w:after="160"/>
      </w:pPr>
      <w:r>
        <w:rPr>
          <w:sz w:val="22"/>
        </w:rPr>
        <w:t>Source AI’s bet is straightforward: regardless of how ERP platforms evolve, companies will continue to need to get off their legacy systems. That migration process is painful today and will remain a bottleneck even as the destination systems become smarter. Source is building the infrastructure layer that powers every mid-market ERP migration.</w:t>
      </w:r>
    </w:p>
    <w:p>
      <w:pPr>
        <w:spacing w:before="200" w:after="200"/>
        <w:pBdr>
          <w:bottom w:val="single" w:sz="6" w:space="1" w:color="CCCCCC"/>
        </w:pBdr>
      </w:pPr>
    </w:p>
    <w:p>
      <w:pPr>
        <w:pStyle w:val="Heading1"/>
      </w:pPr>
      <w:r>
        <w:t>Competitive Differentiation</w:t>
      </w:r>
    </w:p>
    <w:p>
      <w:pPr>
        <w:spacing w:after="160"/>
      </w:pPr>
      <w:r>
        <w:rPr>
          <w:sz w:val="22"/>
        </w:rPr>
        <w:t>The ERP migration automation space is emerging. One competitor that comes up in conversations is Trove, which takes a fundamentally different approach:</w:t>
      </w:r>
    </w:p>
    <w:tbl>
      <w:tblPr>
        <w:tblStyle w:val="TableGrid"/>
        <w:tblW w:type="auto" w:w="0"/>
        <w:jc w:val="left"/>
        <w:tblLook w:firstColumn="1" w:firstRow="1" w:lastColumn="0" w:lastRow="0" w:noHBand="0" w:noVBand="1" w:val="04A0"/>
      </w:tblPr>
      <w:tblGrid>
        <w:gridCol w:w="3135"/>
        <w:gridCol w:w="3135"/>
        <w:gridCol w:w="3135"/>
      </w:tblGrid>
      <w:tr>
        <w:tc>
          <w:tcPr>
            <w:tcW w:type="dxa" w:w="2160"/>
            <w:shd w:fill="1A1A1A" w:val="clear"/>
          </w:tcPr>
          <w:p>
            <w:r/>
            <w:r>
              <w:rPr>
                <w:b/>
                <w:color w:val="FFFFFF"/>
                <w:sz w:val="19"/>
              </w:rPr>
            </w:r>
          </w:p>
        </w:tc>
        <w:tc>
          <w:tcPr>
            <w:tcW w:type="dxa" w:w="3744"/>
            <w:shd w:fill="1A1A1A" w:val="clear"/>
          </w:tcPr>
          <w:p>
            <w:r/>
            <w:r>
              <w:rPr>
                <w:b/>
                <w:color w:val="FFFFFF"/>
                <w:sz w:val="19"/>
              </w:rPr>
              <w:t>Source AI</w:t>
            </w:r>
          </w:p>
        </w:tc>
        <w:tc>
          <w:tcPr>
            <w:tcW w:type="dxa" w:w="3744"/>
            <w:shd w:fill="1A1A1A" w:val="clear"/>
          </w:tcPr>
          <w:p>
            <w:r/>
            <w:r>
              <w:rPr>
                <w:b/>
                <w:color w:val="FFFFFF"/>
                <w:sz w:val="19"/>
              </w:rPr>
              <w:t>Trove</w:t>
            </w:r>
          </w:p>
        </w:tc>
      </w:tr>
      <w:tr>
        <w:tc>
          <w:tcPr>
            <w:tcW w:type="dxa" w:w="2160"/>
          </w:tcPr>
          <w:p>
            <w:r/>
            <w:r>
              <w:rPr>
                <w:sz w:val="19"/>
              </w:rPr>
              <w:t>Go-to-market</w:t>
            </w:r>
          </w:p>
        </w:tc>
        <w:tc>
          <w:tcPr>
            <w:tcW w:type="dxa" w:w="3744"/>
          </w:tcPr>
          <w:p>
            <w:r/>
            <w:r>
              <w:rPr>
                <w:sz w:val="19"/>
              </w:rPr>
              <w:t>Partners WITH consultancies</w:t>
            </w:r>
          </w:p>
        </w:tc>
        <w:tc>
          <w:tcPr>
            <w:tcW w:type="dxa" w:w="3744"/>
          </w:tcPr>
          <w:p>
            <w:r/>
            <w:r>
              <w:rPr>
                <w:sz w:val="19"/>
              </w:rPr>
              <w:t>Goes DIRECT to end clients</w:t>
            </w:r>
          </w:p>
        </w:tc>
      </w:tr>
      <w:tr>
        <w:tc>
          <w:tcPr>
            <w:tcW w:type="dxa" w:w="2160"/>
            <w:shd w:fill="F5F5F5" w:val="clear"/>
          </w:tcPr>
          <w:p>
            <w:r/>
            <w:r>
              <w:rPr>
                <w:sz w:val="19"/>
              </w:rPr>
              <w:t>Consultant role</w:t>
            </w:r>
          </w:p>
        </w:tc>
        <w:tc>
          <w:tcPr>
            <w:tcW w:type="dxa" w:w="3744"/>
            <w:shd w:fill="F5F5F5" w:val="clear"/>
          </w:tcPr>
          <w:p>
            <w:r/>
            <w:r>
              <w:rPr>
                <w:sz w:val="19"/>
              </w:rPr>
              <w:t>Keeps the relationship &amp; commercial ownership</w:t>
            </w:r>
          </w:p>
        </w:tc>
        <w:tc>
          <w:tcPr>
            <w:tcW w:type="dxa" w:w="3744"/>
            <w:shd w:fill="F5F5F5" w:val="clear"/>
          </w:tcPr>
          <w:p>
            <w:r/>
            <w:r>
              <w:rPr>
                <w:sz w:val="19"/>
              </w:rPr>
              <w:t>Attempts to remove consultants entirely</w:t>
            </w:r>
          </w:p>
        </w:tc>
      </w:tr>
      <w:tr>
        <w:tc>
          <w:tcPr>
            <w:tcW w:type="dxa" w:w="2160"/>
          </w:tcPr>
          <w:p>
            <w:r/>
            <w:r>
              <w:rPr>
                <w:sz w:val="19"/>
              </w:rPr>
              <w:t>Philosophy</w:t>
            </w:r>
          </w:p>
        </w:tc>
        <w:tc>
          <w:tcPr>
            <w:tcW w:type="dxa" w:w="3744"/>
          </w:tcPr>
          <w:p>
            <w:r/>
            <w:r>
              <w:rPr>
                <w:sz w:val="19"/>
              </w:rPr>
              <w:t>Consultants + AI = best outcome</w:t>
            </w:r>
          </w:p>
        </w:tc>
        <w:tc>
          <w:tcPr>
            <w:tcW w:type="dxa" w:w="3744"/>
          </w:tcPr>
          <w:p>
            <w:r/>
            <w:r>
              <w:rPr>
                <w:sz w:val="19"/>
              </w:rPr>
              <w:t>AI replaces the consultant</w:t>
            </w:r>
          </w:p>
        </w:tc>
      </w:tr>
    </w:tbl>
    <w:p/>
    <w:p>
      <w:pPr>
        <w:spacing w:after="160"/>
      </w:pPr>
      <w:r>
        <w:rPr>
          <w:sz w:val="22"/>
        </w:rPr>
        <w:t>Source’s view is that AI is not yet at the point where it can replace the human consultant entirely for high-stakes, costly ERP migrations. Clients making a major business decision — a decision that affects their entire operation — want a human relationship. They want someone they can call, someone who understands their business context, and someone who takes accountability. Source makes that consultant dramatically more effective, but it does not try to remove them from the equation.</w:t>
      </w:r>
    </w:p>
    <w:p>
      <w:pPr>
        <w:spacing w:before="200" w:after="200"/>
        <w:pBdr>
          <w:bottom w:val="single" w:sz="6" w:space="1" w:color="CCCCCC"/>
        </w:pBdr>
      </w:pPr>
    </w:p>
    <w:p>
      <w:pPr>
        <w:pStyle w:val="Heading1"/>
      </w:pPr>
      <w:r>
        <w:t>Handling Complexity</w:t>
      </w:r>
    </w:p>
    <w:p>
      <w:pPr>
        <w:spacing w:after="160"/>
      </w:pPr>
      <w:r>
        <w:rPr>
          <w:sz w:val="22"/>
        </w:rPr>
        <w:t>A common question from prospective partners is whether Source can handle complex clients — not just core finance, but businesses with wholesale distribution, warehouse management, manufacturing, or global multi-subsidiary operations.</w:t>
      </w:r>
    </w:p>
    <w:p>
      <w:pPr>
        <w:spacing w:after="160"/>
      </w:pPr>
      <w:r>
        <w:rPr>
          <w:sz w:val="22"/>
        </w:rPr>
        <w:t>Source handles complexity in terms of data depth. If a company has one central system with deep data — accounts payable, accounts receivable, complex integrations, workflows, and customisations attached to it — Source handles that well. The complexity boundary today is the number of completely disparate source systems, not the depth or complexity of the data within a single system. A QuickBooks instance with Shopify, HubSpot, Stripe, and complex revenue recognition is well within scope. Four completely separate legacy ERPs that need to be consolidated would require a phased approach.</w:t>
      </w:r>
    </w:p>
    <w:p>
      <w:pPr>
        <w:spacing w:before="200" w:after="200"/>
        <w:pBdr>
          <w:bottom w:val="single" w:sz="6" w:space="1" w:color="CCCCCC"/>
        </w:pBdr>
      </w:pPr>
    </w:p>
    <w:p>
      <w:pPr>
        <w:pStyle w:val="Heading1"/>
      </w:pPr>
      <w:r>
        <w:t>The Team</w:t>
      </w:r>
    </w:p>
    <w:p>
      <w:pPr>
        <w:spacing w:after="160"/>
      </w:pPr>
      <w:r>
        <w:rPr>
          <w:sz w:val="22"/>
        </w:rPr>
        <w:t>Source AI is built by a team that combines AI engineering capability with deep ERP domain expertise. The company is based in San Francisco, California.</w:t>
      </w:r>
    </w:p>
    <w:tbl>
      <w:tblPr>
        <w:tblStyle w:val="TableGrid"/>
        <w:tblW w:type="auto" w:w="0"/>
        <w:jc w:val="left"/>
        <w:tblLook w:firstColumn="1" w:firstRow="1" w:lastColumn="0" w:lastRow="0" w:noHBand="0" w:noVBand="1" w:val="04A0"/>
      </w:tblPr>
      <w:tblGrid>
        <w:gridCol w:w="3135"/>
        <w:gridCol w:w="3135"/>
        <w:gridCol w:w="3135"/>
      </w:tblGrid>
      <w:tr>
        <w:tc>
          <w:tcPr>
            <w:tcW w:type="dxa" w:w="2160"/>
            <w:shd w:fill="1A1A1A" w:val="clear"/>
          </w:tcPr>
          <w:p>
            <w:r/>
            <w:r>
              <w:rPr>
                <w:b/>
                <w:color w:val="FFFFFF"/>
                <w:sz w:val="19"/>
              </w:rPr>
              <w:t>Name</w:t>
            </w:r>
          </w:p>
        </w:tc>
        <w:tc>
          <w:tcPr>
            <w:tcW w:type="dxa" w:w="1872"/>
            <w:shd w:fill="1A1A1A" w:val="clear"/>
          </w:tcPr>
          <w:p>
            <w:r/>
            <w:r>
              <w:rPr>
                <w:b/>
                <w:color w:val="FFFFFF"/>
                <w:sz w:val="19"/>
              </w:rPr>
              <w:t>Role</w:t>
            </w:r>
          </w:p>
        </w:tc>
        <w:tc>
          <w:tcPr>
            <w:tcW w:type="dxa" w:w="5616"/>
            <w:shd w:fill="1A1A1A" w:val="clear"/>
          </w:tcPr>
          <w:p>
            <w:r/>
            <w:r>
              <w:rPr>
                <w:b/>
                <w:color w:val="FFFFFF"/>
                <w:sz w:val="19"/>
              </w:rPr>
              <w:t>Background</w:t>
            </w:r>
          </w:p>
        </w:tc>
      </w:tr>
      <w:tr>
        <w:tc>
          <w:tcPr>
            <w:tcW w:type="dxa" w:w="2160"/>
          </w:tcPr>
          <w:p>
            <w:r/>
            <w:r>
              <w:rPr>
                <w:sz w:val="19"/>
              </w:rPr>
              <w:t>Liam Fuller</w:t>
            </w:r>
          </w:p>
        </w:tc>
        <w:tc>
          <w:tcPr>
            <w:tcW w:type="dxa" w:w="1872"/>
          </w:tcPr>
          <w:p>
            <w:r/>
            <w:r>
              <w:rPr>
                <w:sz w:val="19"/>
              </w:rPr>
              <w:t>CEO</w:t>
            </w:r>
          </w:p>
        </w:tc>
        <w:tc>
          <w:tcPr>
            <w:tcW w:type="dxa" w:w="5616"/>
          </w:tcPr>
          <w:p>
            <w:r/>
            <w:r>
              <w:rPr>
                <w:sz w:val="19"/>
              </w:rPr>
              <w:t>Built Source’s autonomous migration engine. AI infrastructure &amp; multi-agent systems.</w:t>
            </w:r>
          </w:p>
        </w:tc>
      </w:tr>
      <w:tr>
        <w:tc>
          <w:tcPr>
            <w:tcW w:type="dxa" w:w="2160"/>
            <w:shd w:fill="F5F5F5" w:val="clear"/>
          </w:tcPr>
          <w:p>
            <w:r/>
            <w:r>
              <w:rPr>
                <w:sz w:val="19"/>
              </w:rPr>
              <w:t>Yoan Gabison</w:t>
            </w:r>
          </w:p>
        </w:tc>
        <w:tc>
          <w:tcPr>
            <w:tcW w:type="dxa" w:w="1872"/>
            <w:shd w:fill="F5F5F5" w:val="clear"/>
          </w:tcPr>
          <w:p>
            <w:r/>
            <w:r>
              <w:rPr>
                <w:sz w:val="19"/>
              </w:rPr>
              <w:t>CTO</w:t>
            </w:r>
          </w:p>
        </w:tc>
        <w:tc>
          <w:tcPr>
            <w:tcW w:type="dxa" w:w="5616"/>
            <w:shd w:fill="F5F5F5" w:val="clear"/>
          </w:tcPr>
          <w:p>
            <w:r/>
            <w:r>
              <w:rPr>
                <w:sz w:val="19"/>
              </w:rPr>
              <w:t>10+ years in NetSuite &amp; ERP. Full-stack AI architect who designed Source’s core platform.</w:t>
            </w:r>
          </w:p>
        </w:tc>
      </w:tr>
      <w:tr>
        <w:tc>
          <w:tcPr>
            <w:tcW w:type="dxa" w:w="2160"/>
          </w:tcPr>
          <w:p>
            <w:r/>
            <w:r>
              <w:rPr>
                <w:sz w:val="19"/>
              </w:rPr>
              <w:t>Shane Fuller</w:t>
            </w:r>
          </w:p>
        </w:tc>
        <w:tc>
          <w:tcPr>
            <w:tcW w:type="dxa" w:w="1872"/>
          </w:tcPr>
          <w:p>
            <w:r/>
            <w:r>
              <w:rPr>
                <w:sz w:val="19"/>
              </w:rPr>
              <w:t>Founding Engineer</w:t>
            </w:r>
          </w:p>
        </w:tc>
        <w:tc>
          <w:tcPr>
            <w:tcW w:type="dxa" w:w="5616"/>
          </w:tcPr>
          <w:p>
            <w:r/>
            <w:r>
              <w:rPr>
                <w:sz w:val="19"/>
              </w:rPr>
              <w:t>Former Cybersecurity IT Director. Enterprise security, infrastructure &amp; compliance.</w:t>
            </w:r>
          </w:p>
        </w:tc>
      </w:tr>
      <w:tr>
        <w:tc>
          <w:tcPr>
            <w:tcW w:type="dxa" w:w="2160"/>
            <w:shd w:fill="F5F5F5" w:val="clear"/>
          </w:tcPr>
          <w:p>
            <w:r/>
            <w:r>
              <w:rPr>
                <w:sz w:val="19"/>
              </w:rPr>
              <w:t>Brian Kelleher</w:t>
            </w:r>
          </w:p>
        </w:tc>
        <w:tc>
          <w:tcPr>
            <w:tcW w:type="dxa" w:w="1872"/>
            <w:shd w:fill="F5F5F5" w:val="clear"/>
          </w:tcPr>
          <w:p>
            <w:r/>
            <w:r>
              <w:rPr>
                <w:sz w:val="19"/>
              </w:rPr>
              <w:t>AI Engineer</w:t>
            </w:r>
          </w:p>
        </w:tc>
        <w:tc>
          <w:tcPr>
            <w:tcW w:type="dxa" w:w="5616"/>
            <w:shd w:fill="F5F5F5" w:val="clear"/>
          </w:tcPr>
          <w:p>
            <w:r/>
            <w:r>
              <w:rPr>
                <w:sz w:val="19"/>
              </w:rPr>
              <w:t>ML pipelines &amp; data migration. Builds the models that power Source’s automation.</w:t>
            </w:r>
          </w:p>
        </w:tc>
      </w:tr>
      <w:tr>
        <w:tc>
          <w:tcPr>
            <w:tcW w:type="dxa" w:w="2160"/>
          </w:tcPr>
          <w:p>
            <w:r/>
            <w:r>
              <w:rPr>
                <w:sz w:val="19"/>
              </w:rPr>
              <w:t>Jiri Pucs</w:t>
            </w:r>
          </w:p>
        </w:tc>
        <w:tc>
          <w:tcPr>
            <w:tcW w:type="dxa" w:w="1872"/>
          </w:tcPr>
          <w:p>
            <w:r/>
            <w:r>
              <w:rPr>
                <w:sz w:val="19"/>
              </w:rPr>
              <w:t>AI Engineer</w:t>
            </w:r>
          </w:p>
        </w:tc>
        <w:tc>
          <w:tcPr>
            <w:tcW w:type="dxa" w:w="5616"/>
          </w:tcPr>
          <w:p>
            <w:r/>
            <w:r>
              <w:rPr>
                <w:sz w:val="19"/>
              </w:rPr>
              <w:t>Backend systems, API architecture &amp; integration pipelines.</w:t>
            </w:r>
          </w:p>
        </w:tc>
      </w:tr>
    </w:tbl>
    <w:p/>
    <w:p>
      <w:pPr>
        <w:spacing w:after="160"/>
      </w:pPr>
      <w:r>
        <w:rPr>
          <w:sz w:val="22"/>
        </w:rPr>
        <w:t>The team also includes three senior ERP consultants — Sean Gillespie, Matthew Rodgers, and Bryan McCutchan — who bring hands-on experience in ERP strategy, implementation, and client delivery. Several have backgrounds at major ERP consultancies (SAP, Dynamics, NetSuite practices), and one is an advisor who previously exited an ERP consultancy to Microsoft. An additional 10+ internal expertise consultants support the team.</w:t>
      </w:r>
    </w:p>
    <w:p>
      <w:pPr>
        <w:spacing w:after="160"/>
      </w:pPr>
      <w:r>
        <w:rPr>
          <w:sz w:val="22"/>
        </w:rPr>
        <w:t>The team’s approach to building Source itself reflects the AI-native philosophy: with just two core engineers, Source produces millions of lines of code, spending tens of thousands of euros per month on AI compute credits. The CTO and CEO work at near-parity in terms of code output — a dynamic that would have been impossible 18 months ago.</w:t>
      </w:r>
    </w:p>
    <w:p>
      <w:pPr>
        <w:spacing w:before="200" w:after="200"/>
        <w:pBdr>
          <w:bottom w:val="single" w:sz="6" w:space="1" w:color="CCCCCC"/>
        </w:pBdr>
      </w:pPr>
    </w:p>
    <w:p>
      <w:pPr>
        <w:pStyle w:val="Heading1"/>
      </w:pPr>
      <w:r>
        <w:t>Current Partners and Traction</w:t>
      </w:r>
    </w:p>
    <w:p>
      <w:pPr>
        <w:spacing w:after="160"/>
      </w:pPr>
      <w:r>
        <w:rPr>
          <w:sz w:val="22"/>
        </w:rPr>
        <w:t>Source AI has early traction with several signed partnerships:</w:t>
      </w:r>
    </w:p>
    <w:p>
      <w:pPr>
        <w:pStyle w:val="ListBullet"/>
      </w:pPr>
      <w:r>
        <w:rPr>
          <w:sz w:val="21"/>
        </w:rPr>
        <w:t>Wild Tech — NetSuite Solution Provider, Australia. First completed migration (13 days, €11K).</w:t>
      </w:r>
    </w:p>
    <w:p>
      <w:pPr>
        <w:pStyle w:val="ListBullet"/>
      </w:pPr>
      <w:r>
        <w:rPr>
          <w:sz w:val="21"/>
        </w:rPr>
        <w:t>Bring IT — the 2nd largest NetSuite consultancy in the USA, with 300+ ERP experts across three continents. Partnership to automate 85%+ of migration contracts under $50K.</w:t>
      </w:r>
    </w:p>
    <w:p>
      <w:pPr>
        <w:pStyle w:val="ListBullet"/>
      </w:pPr>
      <w:r>
        <w:rPr>
          <w:sz w:val="21"/>
        </w:rPr>
        <w:t>AppWarp — Australian NetSuite consultancy.</w:t>
      </w:r>
    </w:p>
    <w:p>
      <w:pPr>
        <w:pStyle w:val="ListBullet"/>
      </w:pPr>
      <w:r>
        <w:rPr>
          <w:sz w:val="21"/>
        </w:rPr>
        <w:t>3 signed migration contracts at $15K each with consultancies.</w:t>
      </w:r>
    </w:p>
    <w:p>
      <w:pPr>
        <w:spacing w:after="160"/>
      </w:pPr>
      <w:r>
        <w:rPr>
          <w:sz w:val="22"/>
        </w:rPr>
        <w:t>Source is actively seeking early consultancy partners. The first migration is free of charge, with no commitment required. The goal is to onboard the top 50–100 mid-market ERP consultancies and reach 10 QuickBooks → NetSuite migrations per month.</w:t>
      </w:r>
    </w:p>
    <w:p>
      <w:pPr>
        <w:spacing w:before="200" w:after="200"/>
        <w:pBdr>
          <w:bottom w:val="single" w:sz="6" w:space="1" w:color="CCCCCC"/>
        </w:pBdr>
      </w:pPr>
    </w:p>
    <w:p>
      <w:pPr>
        <w:pStyle w:val="Heading1"/>
      </w:pPr>
      <w:r>
        <w:t>The Vision</w:t>
      </w:r>
    </w:p>
    <w:p>
      <w:pPr>
        <w:spacing w:after="160"/>
      </w:pPr>
      <w:r>
        <w:rPr>
          <w:sz w:val="22"/>
        </w:rPr>
        <w:t>The consulting industry was built on the back of ERP vendors — SAP, NetSuite, Microsoft Dynamics — who could not scale into the hundreds of thousands of mid-market businesses across manufacturing, healthcare, education, local government, retail, and more. They outsourced implementation to consultancies in exchange for aggressive license kickbacks.</w:t>
      </w:r>
    </w:p>
    <w:p>
      <w:pPr>
        <w:spacing w:after="160"/>
      </w:pPr>
      <w:r>
        <w:rPr>
          <w:sz w:val="22"/>
        </w:rPr>
        <w:t>Source AI collapses that delivery chain. The consultant becomes the relationship owner and quality controller. The AI does the work. The client gets a faster, cheaper, better migration. Everyone wins.</w:t>
      </w:r>
    </w:p>
    <w:p>
      <w:pPr>
        <w:spacing w:after="160"/>
      </w:pPr>
      <w:r>
        <w:rPr>
          <w:sz w:val="22"/>
        </w:rPr>
        <w:t>Source is not a tool. It fundamentally changes how consulting works in the age of AI.</w:t>
      </w:r>
    </w:p>
    <w:p/>
    <w:p/>
    <w:p>
      <w:pPr>
        <w:pStyle w:val="Heading1"/>
      </w:pPr>
      <w:r>
        <w:t>Key Numbers at a Glance</w:t>
      </w:r>
    </w:p>
    <w:tbl>
      <w:tblPr>
        <w:tblStyle w:val="TableGrid"/>
        <w:tblW w:type="auto" w:w="0"/>
        <w:jc w:val="left"/>
        <w:tblLook w:firstColumn="1" w:firstRow="1" w:lastColumn="0" w:lastRow="0" w:noHBand="0" w:noVBand="1" w:val="04A0"/>
      </w:tblPr>
      <w:tblGrid>
        <w:gridCol w:w="4703"/>
        <w:gridCol w:w="4703"/>
      </w:tblGrid>
      <w:tr>
        <w:tc>
          <w:tcPr>
            <w:tcW w:type="dxa" w:w="4032"/>
            <w:shd w:fill="1A1A1A" w:val="clear"/>
          </w:tcPr>
          <w:p>
            <w:r/>
            <w:r>
              <w:rPr>
                <w:b/>
                <w:color w:val="FFFFFF"/>
                <w:sz w:val="19"/>
              </w:rPr>
            </w:r>
          </w:p>
        </w:tc>
        <w:tc>
          <w:tcPr>
            <w:tcW w:type="dxa" w:w="5616"/>
            <w:shd w:fill="1A1A1A" w:val="clear"/>
          </w:tcPr>
          <w:p>
            <w:r/>
            <w:r>
              <w:rPr>
                <w:b/>
                <w:color w:val="FFFFFF"/>
                <w:sz w:val="19"/>
              </w:rPr>
              <w:t>Value</w:t>
            </w:r>
          </w:p>
        </w:tc>
      </w:tr>
      <w:tr>
        <w:tc>
          <w:tcPr>
            <w:tcW w:type="dxa" w:w="4032"/>
          </w:tcPr>
          <w:p>
            <w:r/>
            <w:r>
              <w:rPr>
                <w:sz w:val="19"/>
              </w:rPr>
              <w:t>Migration automation</w:t>
            </w:r>
          </w:p>
        </w:tc>
        <w:tc>
          <w:tcPr>
            <w:tcW w:type="dxa" w:w="5616"/>
          </w:tcPr>
          <w:p>
            <w:r/>
            <w:r>
              <w:rPr>
                <w:sz w:val="19"/>
              </w:rPr>
              <w:t>80% of the work handled by AI</w:t>
            </w:r>
          </w:p>
        </w:tc>
      </w:tr>
      <w:tr>
        <w:tc>
          <w:tcPr>
            <w:tcW w:type="dxa" w:w="4032"/>
            <w:shd w:fill="F5F5F5" w:val="clear"/>
          </w:tcPr>
          <w:p>
            <w:r/>
            <w:r>
              <w:rPr>
                <w:sz w:val="19"/>
              </w:rPr>
              <w:t>Migration timeline (with Source)</w:t>
            </w:r>
          </w:p>
        </w:tc>
        <w:tc>
          <w:tcPr>
            <w:tcW w:type="dxa" w:w="5616"/>
            <w:shd w:fill="F5F5F5" w:val="clear"/>
          </w:tcPr>
          <w:p>
            <w:r/>
            <w:r>
              <w:rPr>
                <w:sz w:val="19"/>
              </w:rPr>
              <w:t>Sub 21 days</w:t>
            </w:r>
          </w:p>
        </w:tc>
      </w:tr>
      <w:tr>
        <w:tc>
          <w:tcPr>
            <w:tcW w:type="dxa" w:w="4032"/>
          </w:tcPr>
          <w:p>
            <w:r/>
            <w:r>
              <w:rPr>
                <w:sz w:val="19"/>
              </w:rPr>
              <w:t>Traditional timeline</w:t>
            </w:r>
          </w:p>
        </w:tc>
        <w:tc>
          <w:tcPr>
            <w:tcW w:type="dxa" w:w="5616"/>
          </w:tcPr>
          <w:p>
            <w:r/>
            <w:r>
              <w:rPr>
                <w:sz w:val="19"/>
              </w:rPr>
              <w:t>4–6+ months</w:t>
            </w:r>
          </w:p>
        </w:tc>
      </w:tr>
      <w:tr>
        <w:tc>
          <w:tcPr>
            <w:tcW w:type="dxa" w:w="4032"/>
            <w:shd w:fill="F5F5F5" w:val="clear"/>
          </w:tcPr>
          <w:p>
            <w:r/>
            <w:r>
              <w:rPr>
                <w:sz w:val="19"/>
              </w:rPr>
              <w:t>Cost to client (with Source)</w:t>
            </w:r>
          </w:p>
        </w:tc>
        <w:tc>
          <w:tcPr>
            <w:tcW w:type="dxa" w:w="5616"/>
            <w:shd w:fill="F5F5F5" w:val="clear"/>
          </w:tcPr>
          <w:p>
            <w:r/>
            <w:r>
              <w:rPr>
                <w:sz w:val="19"/>
              </w:rPr>
              <w:t>$8K–$15K</w:t>
            </w:r>
          </w:p>
        </w:tc>
      </w:tr>
      <w:tr>
        <w:tc>
          <w:tcPr>
            <w:tcW w:type="dxa" w:w="4032"/>
          </w:tcPr>
          <w:p>
            <w:r/>
            <w:r>
              <w:rPr>
                <w:sz w:val="19"/>
              </w:rPr>
              <w:t>Traditional cost to client</w:t>
            </w:r>
          </w:p>
        </w:tc>
        <w:tc>
          <w:tcPr>
            <w:tcW w:type="dxa" w:w="5616"/>
          </w:tcPr>
          <w:p>
            <w:r/>
            <w:r>
              <w:rPr>
                <w:sz w:val="19"/>
              </w:rPr>
              <w:t>$30K–$40K</w:t>
            </w:r>
          </w:p>
        </w:tc>
      </w:tr>
      <w:tr>
        <w:tc>
          <w:tcPr>
            <w:tcW w:type="dxa" w:w="4032"/>
            <w:shd w:fill="F5F5F5" w:val="clear"/>
          </w:tcPr>
          <w:p>
            <w:r/>
            <w:r>
              <w:rPr>
                <w:sz w:val="19"/>
              </w:rPr>
              <w:t>Consultant margins (with Source)</w:t>
            </w:r>
          </w:p>
        </w:tc>
        <w:tc>
          <w:tcPr>
            <w:tcW w:type="dxa" w:w="5616"/>
            <w:shd w:fill="F5F5F5" w:val="clear"/>
          </w:tcPr>
          <w:p>
            <w:r/>
            <w:r>
              <w:rPr>
                <w:sz w:val="19"/>
              </w:rPr>
              <w:t>50%+</w:t>
            </w:r>
          </w:p>
        </w:tc>
      </w:tr>
      <w:tr>
        <w:tc>
          <w:tcPr>
            <w:tcW w:type="dxa" w:w="4032"/>
          </w:tcPr>
          <w:p>
            <w:r/>
            <w:r>
              <w:rPr>
                <w:sz w:val="19"/>
              </w:rPr>
              <w:t>Traditional margins</w:t>
            </w:r>
          </w:p>
        </w:tc>
        <w:tc>
          <w:tcPr>
            <w:tcW w:type="dxa" w:w="5616"/>
          </w:tcPr>
          <w:p>
            <w:r/>
            <w:r>
              <w:rPr>
                <w:sz w:val="19"/>
              </w:rPr>
              <w:t>~20%</w:t>
            </w:r>
          </w:p>
        </w:tc>
      </w:tr>
      <w:tr>
        <w:tc>
          <w:tcPr>
            <w:tcW w:type="dxa" w:w="4032"/>
            <w:shd w:fill="F5F5F5" w:val="clear"/>
          </w:tcPr>
          <w:p>
            <w:r/>
            <w:r>
              <w:rPr>
                <w:sz w:val="19"/>
              </w:rPr>
              <w:t>Case study: Wild Tech</w:t>
            </w:r>
          </w:p>
        </w:tc>
        <w:tc>
          <w:tcPr>
            <w:tcW w:type="dxa" w:w="5616"/>
            <w:shd w:fill="F5F5F5" w:val="clear"/>
          </w:tcPr>
          <w:p>
            <w:r/>
            <w:r>
              <w:rPr>
                <w:sz w:val="19"/>
              </w:rPr>
              <w:t>13 days, €11K, 67% savings</w:t>
            </w:r>
          </w:p>
        </w:tc>
      </w:tr>
      <w:tr>
        <w:tc>
          <w:tcPr>
            <w:tcW w:type="dxa" w:w="4032"/>
          </w:tcPr>
          <w:p>
            <w:r/>
            <w:r>
              <w:rPr>
                <w:sz w:val="19"/>
              </w:rPr>
              <w:t>Source AI work share</w:t>
            </w:r>
          </w:p>
        </w:tc>
        <w:tc>
          <w:tcPr>
            <w:tcW w:type="dxa" w:w="5616"/>
          </w:tcPr>
          <w:p>
            <w:r/>
            <w:r>
              <w:rPr>
                <w:sz w:val="19"/>
              </w:rPr>
              <w:t>85% autonomous</w:t>
            </w:r>
          </w:p>
        </w:tc>
      </w:tr>
      <w:tr>
        <w:tc>
          <w:tcPr>
            <w:tcW w:type="dxa" w:w="4032"/>
            <w:shd w:fill="F5F5F5" w:val="clear"/>
          </w:tcPr>
          <w:p>
            <w:r/>
            <w:r>
              <w:rPr>
                <w:sz w:val="19"/>
              </w:rPr>
              <w:t>First migration pricing</w:t>
            </w:r>
          </w:p>
        </w:tc>
        <w:tc>
          <w:tcPr>
            <w:tcW w:type="dxa" w:w="5616"/>
            <w:shd w:fill="F5F5F5" w:val="clear"/>
          </w:tcPr>
          <w:p>
            <w:r/>
            <w:r>
              <w:rPr>
                <w:sz w:val="19"/>
              </w:rPr>
              <w:t>FREE</w:t>
            </w:r>
          </w:p>
        </w:tc>
      </w:tr>
      <w:tr>
        <w:tc>
          <w:tcPr>
            <w:tcW w:type="dxa" w:w="4032"/>
          </w:tcPr>
          <w:p>
            <w:r/>
            <w:r>
              <w:rPr>
                <w:sz w:val="19"/>
              </w:rPr>
              <w:t>Team</w:t>
            </w:r>
          </w:p>
        </w:tc>
        <w:tc>
          <w:tcPr>
            <w:tcW w:type="dxa" w:w="5616"/>
          </w:tcPr>
          <w:p>
            <w:r/>
            <w:r>
              <w:rPr>
                <w:sz w:val="19"/>
              </w:rPr>
              <w:t>5 core + 3 consultants + 10 extended</w:t>
            </w:r>
          </w:p>
        </w:tc>
      </w:tr>
      <w:tr>
        <w:tc>
          <w:tcPr>
            <w:tcW w:type="dxa" w:w="4032"/>
            <w:shd w:fill="F5F5F5" w:val="clear"/>
          </w:tcPr>
          <w:p>
            <w:r/>
            <w:r>
              <w:rPr>
                <w:sz w:val="19"/>
              </w:rPr>
              <w:t>HQ</w:t>
            </w:r>
          </w:p>
        </w:tc>
        <w:tc>
          <w:tcPr>
            <w:tcW w:type="dxa" w:w="5616"/>
            <w:shd w:fill="F5F5F5" w:val="clear"/>
          </w:tcPr>
          <w:p>
            <w:r/>
            <w:r>
              <w:rPr>
                <w:sz w:val="19"/>
              </w:rPr>
              <w:t>San Francisco, CA</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