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A5F"/>
          <w:sz w:val="40"/>
        </w:rPr>
        <w:t>Finance — Extended Response Toolkit</w:t>
      </w:r>
    </w:p>
    <w:p>
      <w:pPr>
        <w:spacing w:after="200" w:before="0"/>
      </w:pPr>
      <w:r>
        <w:rPr>
          <w:b w:val="0"/>
          <w:i/>
          <w:color w:val="555555"/>
          <w:sz w:val="21"/>
        </w:rPr>
        <w:t>Influences → financial management  ·  Financial processes  ·  Financial management strategies.  Each point gives you the theory (with the explicit link to the financial objectives and/or processes) for paragraph 1, and Qantas evidence for paragraph 2. Built entirely from your Google Drive notes (AC Finance notes, AC Finance stat sheet, JD/OJ/BD sheet, Macfarlane stats).</w:t>
      </w:r>
    </w:p>
    <w:p>
      <w:pPr>
        <w:spacing w:after="120" w:before="0"/>
      </w:pPr>
      <w:r>
        <w:rPr>
          <w:b/>
          <w:i w:val="0"/>
          <w:color w:val="8E242A"/>
        </w:rPr>
        <w:t xml:space="preserve">A note on the Qantas figures: </w:t>
      </w:r>
      <w:r>
        <w:rPr>
          <w:b w:val="0"/>
          <w:i w:val="0"/>
          <w:color w:val="555555"/>
          <w:sz w:val="19"/>
        </w:rPr>
        <w:t>these are the most recent stats in your Drive notes — anchored on FY2024 (year ended 30 June 2024: statutory profit after tax $2.08b, down 16%; revenue $21.94b, up 10.7%; net profit ratio 9%; current ratio 0.34:1; debt-to-equity 22:1; expense ratio 90%; net debt $4.1b; net cash flow $3.62b; revenue seat factor 83%). FY2023 and Covid-era figures are kept where the trend IS the argument. Chunk 1 (role of financial management) is excluded as its own section, but the objectives are summarised below because every influence, process and strategy links back to them.</w:t>
      </w:r>
    </w:p>
    <w:p>
      <w:pPr>
        <w:spacing w:after="80" w:before="240"/>
        <w:shd w:val="clear" w:fill="1F3A5F"/>
        <w:ind w:left="120"/>
      </w:pPr>
      <w:r>
        <w:rPr>
          <w:b/>
          <w:i w:val="0"/>
          <w:color w:val="FFFFFF"/>
          <w:sz w:val="26"/>
        </w:rPr>
        <w:t>QUICK REFERENCE — the financial objectives you are linking TO</w:t>
      </w:r>
    </w:p>
    <w:p>
      <w:pPr>
        <w:spacing w:after="40" w:before="200"/>
      </w:pPr>
      <w:r>
        <w:rPr>
          <w:b/>
          <w:i w:val="0"/>
          <w:color w:val="1A5F9E"/>
          <w:sz w:val="26"/>
        </w:rPr>
        <w:t>The objectives of financial management (Little Ponies Eat Grass Safely)</w:t>
      </w:r>
    </w:p>
    <w:p>
      <w:pPr>
        <w:pStyle w:val="ListBullet"/>
        <w:spacing w:after="40"/>
      </w:pPr>
      <w:r>
        <w:rPr>
          <w:b/>
          <w:i w:val="0"/>
        </w:rPr>
        <w:t xml:space="preserve">Profitability — </w:t>
      </w:r>
      <w:r>
        <w:rPr>
          <w:b w:val="0"/>
          <w:i w:val="0"/>
        </w:rPr>
        <w:t>the ability to generate sustainable and consistent profits — the difference between revenue and expenses. Vital for reinvestment, expansion and shareholder value. Qantas: losses of $1.8b (2021) and $1.9b (2022) — still strong relative to Delta (-$12b) and Emirates (-$6b) — then a $2.47b profit in 2023 and a $2.08b statutory profit after tax in FY24 (down 16%). NPR: -30% (2021) → -20% (2022) → 12% (2023) → 9% (2024).</w:t>
      </w:r>
    </w:p>
    <w:p>
      <w:pPr>
        <w:pStyle w:val="ListBullet"/>
        <w:spacing w:after="40"/>
      </w:pPr>
      <w:r>
        <w:rPr>
          <w:b/>
          <w:i w:val="0"/>
        </w:rPr>
        <w:t xml:space="preserve">Growth — </w:t>
      </w:r>
      <w:r>
        <w:rPr>
          <w:b w:val="0"/>
          <w:i w:val="0"/>
        </w:rPr>
        <w:t>the strategic pursuit of expanding operations, customer base, revenue and market share over time (using assets, mergers, acquisitions, diversification, franchising) — ensures ongoing viability. Qantas: shrank during Covid because growth was not financially viable; now 8 new passenger aircraft in FY24 within a ~$12b, five-year fleet renewal (12 Airbus A350s + 12 Boeing 787s), Project Sunrise 19-hour direct Sydney–London/NY flights from mid-2026, and a 51% stake in TripADeal acquired in 2022.</w:t>
      </w:r>
    </w:p>
    <w:p>
      <w:pPr>
        <w:pStyle w:val="ListBullet"/>
        <w:spacing w:after="40"/>
      </w:pPr>
      <w:r>
        <w:rPr>
          <w:b/>
          <w:i w:val="0"/>
        </w:rPr>
        <w:t xml:space="preserve">Efficiency — </w:t>
      </w:r>
      <w:r>
        <w:rPr>
          <w:b w:val="0"/>
          <w:i w:val="0"/>
        </w:rPr>
        <w:t>achieving the highest possible returns with minimal resource expenditure — more output from the same input, or the same output from less input. Qantas: expense ratio 135% (2021) → 110% (2022) → 86% (2023) → 90% (2024) vs 92% pre-Covid (2019); revenue seat factor 68% (2022) → 83% (2023, held in 2024); $400m efficiency initiative in H1 FY24; A220s burn 20% less fuel per seat.</w:t>
      </w:r>
    </w:p>
    <w:p>
      <w:pPr>
        <w:pStyle w:val="ListBullet"/>
        <w:spacing w:after="40"/>
      </w:pPr>
      <w:r>
        <w:rPr>
          <w:b/>
          <w:i w:val="0"/>
        </w:rPr>
        <w:t xml:space="preserve">Liquidity — </w:t>
      </w:r>
      <w:r>
        <w:rPr>
          <w:b w:val="0"/>
          <w:i w:val="0"/>
        </w:rPr>
        <w:t>how easily the business can turn assets into cash to pay its short-term debts (CL) and keep running — managing CA (cash, receivables, inventory) against CL (payables, loans, overdrafts). Qantas: current ratio 0.46:1 (2019) → 0.45:1 (2021) → 0.53:1 (2022) → 0.42:1 (2023) → 0.34:1 (2024), below the ~0.75:1 airline benchmark; lost $40m per week in cash at one point in the pandemic; held $9.2b of liquid assets at H1 FY24 and leans on a heavy bank overdraft ($1.2b readily available).</w:t>
      </w:r>
    </w:p>
    <w:p>
      <w:pPr>
        <w:pStyle w:val="ListBullet"/>
        <w:spacing w:after="40"/>
      </w:pPr>
      <w:r>
        <w:rPr>
          <w:b/>
          <w:i w:val="0"/>
        </w:rPr>
        <w:t xml:space="preserve">Solvency — </w:t>
      </w:r>
      <w:r>
        <w:rPr>
          <w:b w:val="0"/>
          <w:i w:val="0"/>
        </w:rPr>
        <w:t>the ability to sustain operations long-term with sufficient assets to cover all liabilities and debts — measured by gearing (debt-to-equity). Qantas: capital intensive = highly geared; D/E 1.69 (2020) → 13.41 (2021) → 32.5 (2022) → ~1,069 (2023, equity gutted by ~$7b of accumulated pandemic losses) → 22:1 (2024); net debt $2.9b (2023) → $4.1b (2024); relatively low pre-Covid gearing (shareholders’ funds ~$3b) aided survival, and solvency now faces strain from the ~$12b fleet renewal.</w:t>
      </w:r>
    </w:p>
    <w:p>
      <w:pPr>
        <w:pStyle w:val="ListBullet"/>
        <w:spacing w:after="40"/>
      </w:pPr>
      <w:r>
        <w:rPr>
          <w:b/>
          <w:i w:val="0"/>
        </w:rPr>
        <w:t xml:space="preserve">Short-term vs long-term objectives — </w:t>
      </w:r>
      <w:r>
        <w:rPr>
          <w:b w:val="0"/>
          <w:i w:val="0"/>
        </w:rPr>
        <w:t>short-term (within 12 months) = immediate needs and stability — liquidity and day-to-day debt management; long-term (beyond 12 months) = sustained profitability, efficiency, growth and solvency. They conflict: long-term projects absorb resources without immediate returns, straining short-term cash. Qantas: funding the ~$12b fleet order and Project Sunrise while the current ratio slid 0.42 → 0.34 is exactly this dilemma — short-term liquidity traded for long-term growth and efficiency.</w:t>
      </w:r>
    </w:p>
    <w:p>
      <w:pPr>
        <w:spacing w:after="80" w:before="240"/>
        <w:shd w:val="clear" w:fill="1A5F9E"/>
        <w:ind w:left="120"/>
      </w:pPr>
      <w:r>
        <w:rPr>
          <w:b/>
          <w:i w:val="0"/>
          <w:color w:val="FFFFFF"/>
          <w:sz w:val="26"/>
        </w:rPr>
        <w:t>PART A — INFLUENCES  →  FINANCIAL MANAGEMENT</w:t>
      </w:r>
    </w:p>
    <w:p>
      <w:pPr>
        <w:spacing w:after="160" w:before="40"/>
      </w:pPr>
      <w:r>
        <w:rPr>
          <w:b w:val="0"/>
          <w:i/>
          <w:color w:val="555555"/>
        </w:rPr>
        <w:t>An influence is an internal or external factor that impacts a business in achieving its financial goals. Structure: define it → state HOW it shapes the financial decisions (the LINK to objectives/processes) → prove it with Qantas.</w:t>
      </w:r>
    </w:p>
    <w:p>
      <w:pPr>
        <w:spacing w:after="40" w:before="200"/>
      </w:pPr>
      <w:r>
        <w:rPr>
          <w:b/>
          <w:i w:val="0"/>
          <w:color w:val="2E7D32"/>
          <w:sz w:val="26"/>
        </w:rPr>
        <w:t>1. Internal sources of finance — retained profits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internal finance is funds generated from the outcomes of the business’s own activities. Retained profits are the portion of net profit kept within the business after dividends are paid to shareholders, reinvested for growth, development or debt repayment.</w:t>
      </w:r>
    </w:p>
    <w:p>
      <w:pPr>
        <w:pStyle w:val="ListBullet"/>
        <w:spacing w:after="40"/>
      </w:pPr>
      <w:r>
        <w:rPr>
          <w:b w:val="0"/>
          <w:i w:val="0"/>
        </w:rPr>
        <w:t>Instead of distributing all profits as dividends, the funds are reinvested into the company — crucial for supporting expansion and enhancing shareholder value without diluting ownership or incurring additional debt.</w:t>
      </w:r>
    </w:p>
    <w:p>
      <w:pPr>
        <w:pStyle w:val="ListBullet"/>
        <w:spacing w:after="40"/>
      </w:pPr>
      <w:r>
        <w:rPr>
          <w:b w:val="0"/>
          <w:i w:val="0"/>
        </w:rPr>
        <w:t>Only available when the business is actually profitable — a loss-making business is forced onto external sources.</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Moves GROWTH and SOLVENCY: reinvested profits fund expansion with zero new debt or dilution, keeping the gearing ratio down.</w:t>
      </w:r>
    </w:p>
    <w:p>
      <w:pPr>
        <w:pStyle w:val="ListBullet"/>
        <w:spacing w:after="40"/>
      </w:pPr>
      <w:r>
        <w:rPr>
          <w:b/>
          <w:i w:val="0"/>
          <w:color w:val="B05400"/>
        </w:rPr>
        <w:t xml:space="preserve">LINK → </w:t>
      </w:r>
      <w:r>
        <w:rPr>
          <w:b w:val="0"/>
          <w:i w:val="0"/>
        </w:rPr>
        <w:t>Belongs to PLANNING &amp; IMPLEMENTING: retained profits are the first source weighed when matching finance to purpose.</w:t>
      </w:r>
    </w:p>
    <w:p>
      <w:pPr>
        <w:spacing w:after="20" w:before="80"/>
      </w:pPr>
      <w:r>
        <w:rPr>
          <w:b/>
          <w:i w:val="0"/>
          <w:color w:val="C00000"/>
          <w:sz w:val="19"/>
        </w:rPr>
        <w:t>QANTAS CASE STUDY (paragraph 2)</w:t>
      </w:r>
    </w:p>
    <w:p>
      <w:pPr>
        <w:pStyle w:val="ListBullet"/>
        <w:spacing w:after="40"/>
      </w:pPr>
      <w:r>
        <w:rPr>
          <w:b w:val="0"/>
          <w:i w:val="0"/>
        </w:rPr>
        <w:t>Record levels of profitability from 2015–2019 allowed substantial retained earnings to be reinvested into the business.</w:t>
      </w:r>
    </w:p>
    <w:p>
      <w:pPr>
        <w:pStyle w:val="ListBullet"/>
        <w:spacing w:after="40"/>
      </w:pPr>
      <w:r>
        <w:rPr>
          <w:b w:val="0"/>
          <w:i w:val="0"/>
        </w:rPr>
        <w:t>FY22-23: profit before tax of $2.47b re-invested into 24 new widebody aircraft and $200m into operational resilience.</w:t>
      </w:r>
    </w:p>
    <w:p>
      <w:pPr>
        <w:pStyle w:val="ListBullet"/>
        <w:spacing w:after="40"/>
      </w:pPr>
      <w:r>
        <w:rPr>
          <w:b w:val="0"/>
          <w:i w:val="0"/>
        </w:rPr>
        <w:t>The contrast proves the point: during the Covid losses ($1.8b in 2021, $1.9b in 2022) there were no retained profits — forcing the pivot to $2.4b of new debt and a $1.9b equity raising.</w:t>
      </w:r>
    </w:p>
    <w:p>
      <w:pPr>
        <w:spacing w:after="40" w:before="200"/>
      </w:pPr>
      <w:r>
        <w:rPr>
          <w:b/>
          <w:i w:val="0"/>
          <w:color w:val="2E7D32"/>
          <w:sz w:val="26"/>
        </w:rPr>
        <w:t>2. External sources — debt finance (short-term: overdraft, commercial bills, factoring · long-term: mortgage, debentures, unsecured notes, leasing)</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external debt finance is borrowed funds that must be repaid with interest — short-term borrowing overcomes temporary cash shortfalls, while long-term borrowing funds non-current assets.</w:t>
      </w:r>
    </w:p>
    <w:p>
      <w:pPr>
        <w:pStyle w:val="ListBullet"/>
        <w:spacing w:after="40"/>
      </w:pPr>
      <w:r>
        <w:rPr>
          <w:b w:val="0"/>
          <w:i w:val="0"/>
        </w:rPr>
        <w:t>Overdraft: the bank allows withdrawals beyond the account balance up to an agreed limit — flexible, immediate funds for unexpected expenses or cash shortfalls, repayable without penalty once cash returns, but costly (high interest) if relied on for extended periods.</w:t>
      </w:r>
    </w:p>
    <w:p>
      <w:pPr>
        <w:pStyle w:val="ListBullet"/>
        <w:spacing w:after="40"/>
      </w:pPr>
      <w:r>
        <w:rPr>
          <w:b w:val="0"/>
          <w:i w:val="0"/>
        </w:rPr>
        <w:t>Commercial bills: secured against business assets, for substantial amounts (typically $100,000+) over 30–180 days — used for receivables, inventory and upcoming payments when funds are needed for a specific period.</w:t>
      </w:r>
    </w:p>
    <w:p>
      <w:pPr>
        <w:pStyle w:val="ListBullet"/>
        <w:spacing w:after="40"/>
      </w:pPr>
      <w:r>
        <w:rPr>
          <w:b w:val="0"/>
          <w:i w:val="0"/>
        </w:rPr>
        <w:t>Factoring: selling receivables (unpaid invoices) to a factor at a discount for immediate cash — improves cash flow up front, but the business receives less than full invoice value.</w:t>
      </w:r>
    </w:p>
    <w:p>
      <w:pPr>
        <w:pStyle w:val="ListBullet"/>
        <w:spacing w:after="40"/>
      </w:pPr>
      <w:r>
        <w:rPr>
          <w:b w:val="0"/>
          <w:i w:val="0"/>
        </w:rPr>
        <w:t>Mortgage: long-term loan secured against property/assets. Debentures: debt securities issued via a prospectus at a fixed (fairly low) interest rate, typically secured by assets, paying periodic interest with the principal returned at maturity — funds expansion without diluting ownership.</w:t>
      </w:r>
    </w:p>
    <w:p>
      <w:pPr>
        <w:pStyle w:val="ListBullet"/>
        <w:spacing w:after="40"/>
      </w:pPr>
      <w:r>
        <w:rPr>
          <w:b w:val="0"/>
          <w:i w:val="0"/>
        </w:rPr>
        <w:t>Unsecured notes: fixed-interest notes not backed by collateral, based on the borrower’s creditworthiness — greater lender risk = higher rates (~6%+); suits companies with strong credit or few free assets, and is quicker because nothing is pledged.</w:t>
      </w:r>
    </w:p>
    <w:p>
      <w:pPr>
        <w:pStyle w:val="ListBullet"/>
        <w:spacing w:after="40"/>
      </w:pPr>
      <w:r>
        <w:rPr>
          <w:b w:val="0"/>
          <w:i w:val="0"/>
        </w:rPr>
        <w:t>Leasing: renting an asset for a specific period with regular payments (sometimes with an option to buy) — access to assets without the upfront cost of ownership and protection from obsolescence, though it can cost more than buying long-term.</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LIQUIDITY: overdrafts, commercial bills and factoring exist to bridge short-term cash gaps.</w:t>
      </w:r>
    </w:p>
    <w:p>
      <w:pPr>
        <w:pStyle w:val="ListBullet"/>
        <w:spacing w:after="40"/>
      </w:pPr>
      <w:r>
        <w:rPr>
          <w:b/>
          <w:i w:val="0"/>
          <w:color w:val="B05400"/>
        </w:rPr>
        <w:t xml:space="preserve">LINK → </w:t>
      </w:r>
      <w:r>
        <w:rPr>
          <w:b w:val="0"/>
          <w:i w:val="0"/>
        </w:rPr>
        <w:t>GROWTH vs SOLVENCY trade-off: long-term debt funds fleet and expansion, but every dollar lifts the debt-to-equity ratio and the interest burden on profit.</w:t>
      </w:r>
    </w:p>
    <w:p>
      <w:pPr>
        <w:pStyle w:val="ListBullet"/>
        <w:spacing w:after="40"/>
      </w:pPr>
      <w:r>
        <w:rPr>
          <w:b/>
          <w:i w:val="0"/>
          <w:color w:val="B05400"/>
        </w:rPr>
        <w:t xml:space="preserve">LINK → </w:t>
      </w:r>
      <w:r>
        <w:rPr>
          <w:b w:val="0"/>
          <w:i w:val="0"/>
        </w:rPr>
        <w:t>Feeds the PLANNING &amp; IMPLEMENTING process — matching the terms and source of finance to purpose.</w:t>
      </w:r>
    </w:p>
    <w:p>
      <w:pPr>
        <w:spacing w:after="20" w:before="80"/>
      </w:pPr>
      <w:r>
        <w:rPr>
          <w:b/>
          <w:i w:val="0"/>
          <w:color w:val="C00000"/>
          <w:sz w:val="19"/>
        </w:rPr>
        <w:t>QANTAS CASE STUDY (paragraph 2)</w:t>
      </w:r>
    </w:p>
    <w:p>
      <w:pPr>
        <w:pStyle w:val="ListBullet"/>
        <w:spacing w:after="40"/>
      </w:pPr>
      <w:r>
        <w:rPr>
          <w:b w:val="0"/>
          <w:i w:val="0"/>
        </w:rPr>
        <w:t>2020–2022: raised an additional $2.4b in debt through loans secured against aircraft (including $1.7b in 2020 secured against 16 owned aircraft) to generate cash and offset Covid.</w:t>
      </w:r>
    </w:p>
    <w:p>
      <w:pPr>
        <w:pStyle w:val="ListBullet"/>
        <w:spacing w:after="40"/>
      </w:pPr>
      <w:r>
        <w:rPr>
          <w:b w:val="0"/>
          <w:i w:val="0"/>
        </w:rPr>
        <w:t>2022: issued a 7-year unsecured note at just 3.15%, raising $500m (its reliability let it borrow cheaply), and raised $400m through a debenture backed by its 787-9 Dreamliners; Qantas debentures sit around 5.25%; FY20-21: a $1.05b bank loan (mortgage) secured against aircraft.</w:t>
      </w:r>
    </w:p>
    <w:p>
      <w:pPr>
        <w:pStyle w:val="ListBullet"/>
        <w:spacing w:after="40"/>
      </w:pPr>
      <w:r>
        <w:rPr>
          <w:b w:val="0"/>
          <w:i w:val="0"/>
        </w:rPr>
        <w:t>Short-term: $1.2b readily available in overdraft plus a $300m standby facility to draw on when creditors fall due; 46% of the fleet is under lease; the 2018 debt portfolio totalled $4.9b.</w:t>
      </w:r>
    </w:p>
    <w:p>
      <w:pPr>
        <w:spacing w:after="40" w:before="200"/>
      </w:pPr>
      <w:r>
        <w:rPr>
          <w:b/>
          <w:i w:val="0"/>
          <w:color w:val="2E7D32"/>
          <w:sz w:val="26"/>
        </w:rPr>
        <w:t>3. External sources — equity finance (ordinary shares: new issues, rights issues, placements, share purchase plans · private equity)</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equity finance involves giving individuals or institutions a share of ownership of the business in return for funds.</w:t>
      </w:r>
    </w:p>
    <w:p>
      <w:pPr>
        <w:pStyle w:val="ListBullet"/>
        <w:spacing w:after="40"/>
      </w:pPr>
      <w:r>
        <w:rPr>
          <w:b w:val="0"/>
          <w:i w:val="0"/>
        </w:rPr>
        <w:t>New issues: issuing additional shares to the public through an IPO (first time) or a follow-on issue, in the primary market — both require a prospectus reviewed by ASIC.</w:t>
      </w:r>
    </w:p>
    <w:p>
      <w:pPr>
        <w:pStyle w:val="ListBullet"/>
        <w:spacing w:after="40"/>
      </w:pPr>
      <w:r>
        <w:rPr>
          <w:b w:val="0"/>
          <w:i w:val="0"/>
        </w:rPr>
        <w:t>Rights issues: existing shareholders are offered extra shares (usually at a discount) in proportion to their holdings — letting them maintain their percentage ownership.</w:t>
      </w:r>
    </w:p>
    <w:p>
      <w:pPr>
        <w:pStyle w:val="ListBullet"/>
        <w:spacing w:after="40"/>
      </w:pPr>
      <w:r>
        <w:rPr>
          <w:b w:val="0"/>
          <w:i w:val="0"/>
        </w:rPr>
        <w:t>Placements: new shares issued directly to select institutional investors or high-net-worth individuals, bypassing the public offering — fast and targeted, but dilutes existing owners and can lower the share price short-term by increasing shares outstanding.</w:t>
      </w:r>
    </w:p>
    <w:p>
      <w:pPr>
        <w:pStyle w:val="ListBullet"/>
        <w:spacing w:after="40"/>
      </w:pPr>
      <w:r>
        <w:rPr>
          <w:b w:val="0"/>
          <w:i w:val="0"/>
        </w:rPr>
        <w:t>Share purchase plans: existing shareholders buy additional shares at a discount with no brokerage, capped at $30,000 per shareholder; only an offer document is needed, not a prospectus — ideal for small investors.</w:t>
      </w:r>
    </w:p>
    <w:p>
      <w:pPr>
        <w:pStyle w:val="ListBullet"/>
        <w:spacing w:after="40"/>
      </w:pPr>
      <w:r>
        <w:rPr>
          <w:b w:val="0"/>
          <w:i w:val="0"/>
        </w:rPr>
        <w:t>Private equity: investment capital provided in exchange for an ownership stake in a private company (or via a PIPE — a discounted private placement into a public company), with the investor exiting later through a sale or IPO.</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SOLVENCY: no repayment obligation and no added debt — equity is the raising that repairs a stressed balance sheet and lowers gearing.</w:t>
      </w:r>
    </w:p>
    <w:p>
      <w:pPr>
        <w:pStyle w:val="ListBullet"/>
        <w:spacing w:after="40"/>
      </w:pPr>
      <w:r>
        <w:rPr>
          <w:b/>
          <w:i w:val="0"/>
          <w:color w:val="B05400"/>
        </w:rPr>
        <w:t xml:space="preserve">LINK → </w:t>
      </w:r>
      <w:r>
        <w:rPr>
          <w:b w:val="0"/>
          <w:i w:val="0"/>
        </w:rPr>
        <w:t>GROWTH funded at the cost of ownership dilution rather than interest — which also shields PROFITABILITY from interest expense (though dividends are not tax deductible).</w:t>
      </w:r>
    </w:p>
    <w:p>
      <w:pPr>
        <w:spacing w:after="20" w:before="80"/>
      </w:pPr>
      <w:r>
        <w:rPr>
          <w:b/>
          <w:i w:val="0"/>
          <w:color w:val="C00000"/>
          <w:sz w:val="19"/>
        </w:rPr>
        <w:t>QANTAS CASE STUDY (paragraph 2)</w:t>
      </w:r>
    </w:p>
    <w:p>
      <w:pPr>
        <w:pStyle w:val="ListBullet"/>
        <w:spacing w:after="40"/>
      </w:pPr>
      <w:r>
        <w:rPr>
          <w:b w:val="0"/>
          <w:i w:val="0"/>
        </w:rPr>
        <w:t>June 2020: raised $1.9b through the sale of shares — $1.4b via placements to institutional investors and $500m via a share purchase plan for existing shareholders; ~$2b was generated from share sales on the ASX in response to Covid.</w:t>
      </w:r>
    </w:p>
    <w:p>
      <w:pPr>
        <w:pStyle w:val="ListBullet"/>
        <w:spacing w:after="40"/>
      </w:pPr>
      <w:r>
        <w:rPr>
          <w:b w:val="0"/>
          <w:i w:val="0"/>
        </w:rPr>
        <w:t>2009: raised $500m in new-issue shares to combat the GFC.</w:t>
      </w:r>
    </w:p>
    <w:p>
      <w:pPr>
        <w:pStyle w:val="ListBullet"/>
        <w:spacing w:after="40"/>
      </w:pPr>
      <w:r>
        <w:rPr>
          <w:b w:val="0"/>
          <w:i w:val="0"/>
        </w:rPr>
        <w:t>The 1995 IPO sold 25% to British Airways and 50% to institutional and retail investors — and by FY23-24 the position had reversed into a $400m share buy-back.</w:t>
      </w:r>
    </w:p>
    <w:p>
      <w:pPr>
        <w:spacing w:after="40" w:before="200"/>
      </w:pPr>
      <w:r>
        <w:rPr>
          <w:b/>
          <w:i w:val="0"/>
          <w:color w:val="2E7D32"/>
          <w:sz w:val="26"/>
        </w:rPr>
        <w:t>4. Financial institutions (banks · investment banks · finance companies · superannuation funds · life insurance companies · unit trusts · ASX)</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a financial institution is an organisation providing a wide range of financial services, including loans, savings and investments — each one shapes the type, cost and terms of finance available to a business.</w:t>
      </w:r>
    </w:p>
    <w:p>
      <w:pPr>
        <w:pStyle w:val="ListBullet"/>
        <w:spacing w:after="40"/>
      </w:pPr>
      <w:r>
        <w:rPr>
          <w:b w:val="0"/>
          <w:i w:val="0"/>
        </w:rPr>
        <w:t>Banks: a comprehensive array of products and services — savings and transaction accounts, personal and home loans, credit — providing both short-term (overdraft) and long-term (mortgage) finance.</w:t>
      </w:r>
    </w:p>
    <w:p>
      <w:pPr>
        <w:pStyle w:val="ListBullet"/>
        <w:spacing w:after="40"/>
      </w:pPr>
      <w:r>
        <w:rPr>
          <w:b w:val="0"/>
          <w:i w:val="0"/>
        </w:rPr>
        <w:t>Investment banks: specialised advisory and financial services to individuals, corporations and governments — underwriting and issuing securities, advising on mergers and acquisitions, assisting capital raising (e.g. Macquarie).</w:t>
      </w:r>
    </w:p>
    <w:p>
      <w:pPr>
        <w:pStyle w:val="ListBullet"/>
        <w:spacing w:after="40"/>
      </w:pPr>
      <w:r>
        <w:rPr>
          <w:b w:val="0"/>
          <w:i w:val="0"/>
        </w:rPr>
        <w:t>Finance companies: non-bank institutions providing short- and long-term loans mostly to small and medium businesses — no cash deposits, riskier loans at higher interest rates; consumer loans, mortgages, asset finance (e.g. AFG).</w:t>
      </w:r>
    </w:p>
    <w:p>
      <w:pPr>
        <w:pStyle w:val="ListBullet"/>
        <w:spacing w:after="40"/>
      </w:pPr>
      <w:r>
        <w:rPr>
          <w:b w:val="0"/>
          <w:i w:val="0"/>
        </w:rPr>
        <w:t>Superannuation funds: channel superannuation contributions to the corporate sector via shares, government securities and property (e.g. AustralianSuper). Life insurance companies: invest customer premiums in shares, bonds and real estate, providing equity and loans to the corporate sector (e.g. TAL).</w:t>
      </w:r>
    </w:p>
    <w:p>
      <w:pPr>
        <w:pStyle w:val="ListBullet"/>
        <w:spacing w:after="40"/>
      </w:pPr>
      <w:r>
        <w:rPr>
          <w:b w:val="0"/>
          <w:i w:val="0"/>
        </w:rPr>
        <w:t>Unit trusts: collective investment schemes pooling investors’ money into a professionally managed, diversified portfolio of shares, property and fixed-income securities (managed/mutual funds, e.g. Vanguard).</w:t>
      </w:r>
    </w:p>
    <w:p>
      <w:pPr>
        <w:pStyle w:val="ListBullet"/>
        <w:spacing w:after="40"/>
      </w:pPr>
      <w:r>
        <w:rPr>
          <w:b w:val="0"/>
          <w:i w:val="0"/>
        </w:rPr>
        <w:t>ASX: Australia’s primary securities exchange where shares, bonds and derivatives are issued and traded — primary market (new issues between company and shareholders: IPOs, follow-ons) vs secondary market (trading between investors); oversees the market to ensure transparent trading and protect investors.</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They are the SUPPLY SIDE of finance: which institution a business taps determines the cost, term and conditions of its funds — the raw material of every financing decision.</w:t>
      </w:r>
    </w:p>
    <w:p>
      <w:pPr>
        <w:pStyle w:val="ListBullet"/>
        <w:spacing w:after="40"/>
      </w:pPr>
      <w:r>
        <w:rPr>
          <w:b/>
          <w:i w:val="0"/>
          <w:color w:val="B05400"/>
        </w:rPr>
        <w:t xml:space="preserve">LINK → </w:t>
      </w:r>
      <w:r>
        <w:rPr>
          <w:b w:val="0"/>
          <w:i w:val="0"/>
        </w:rPr>
        <w:t>LIQUIDITY &amp; SOLVENCY: banks supply the overdrafts that protect liquidity; the ASX supplies the equity that protects solvency.</w:t>
      </w:r>
    </w:p>
    <w:p>
      <w:pPr>
        <w:spacing w:after="20" w:before="80"/>
      </w:pPr>
      <w:r>
        <w:rPr>
          <w:b/>
          <w:i w:val="0"/>
          <w:color w:val="C00000"/>
          <w:sz w:val="19"/>
        </w:rPr>
        <w:t>QANTAS CASE STUDY (paragraph 2)</w:t>
      </w:r>
    </w:p>
    <w:p>
      <w:pPr>
        <w:pStyle w:val="ListBullet"/>
        <w:spacing w:after="40"/>
      </w:pPr>
      <w:r>
        <w:rPr>
          <w:b w:val="0"/>
          <w:i w:val="0"/>
        </w:rPr>
        <w:t>Banks: Qantas banks with Westpac, Commonwealth Bank, ANZ and NAB; FY20-21 it secured a $1.05b loan against aircraft.</w:t>
      </w:r>
    </w:p>
    <w:p>
      <w:pPr>
        <w:pStyle w:val="ListBullet"/>
        <w:spacing w:after="40"/>
      </w:pPr>
      <w:r>
        <w:rPr>
          <w:b w:val="0"/>
          <w:i w:val="0"/>
        </w:rPr>
        <w:t>Investment banks: frequently works with Goldman Sachs, UBS and Citigroup as strategic advisers for equity and debt initiatives.</w:t>
      </w:r>
    </w:p>
    <w:p>
      <w:pPr>
        <w:pStyle w:val="ListBullet"/>
        <w:spacing w:after="40"/>
      </w:pPr>
      <w:r>
        <w:rPr>
          <w:b w:val="0"/>
          <w:i w:val="0"/>
        </w:rPr>
        <w:t>ASX: its main equity gateway — the ~$2b of Covid share sales, the FY23-24 $400m buy-back and the 2022 acquisition of a 51% stake in TripADeal all ran through the exchange; the $1.4b placement went to institutional investors (banks, investment/super-style funds).</w:t>
      </w:r>
    </w:p>
    <w:p>
      <w:pPr>
        <w:pStyle w:val="ListBullet"/>
        <w:spacing w:after="40"/>
      </w:pPr>
      <w:r>
        <w:rPr>
          <w:b w:val="0"/>
          <w:i w:val="0"/>
        </w:rPr>
        <w:t>Gap: the notes name no specific finance company, life insurer or unit trust dealing with Qantas — adapt the $1.4b institutional placement, since super funds and managed funds are precisely these institutional investors.</w:t>
      </w:r>
    </w:p>
    <w:p>
      <w:pPr>
        <w:spacing w:after="40" w:before="200"/>
      </w:pPr>
      <w:r>
        <w:rPr>
          <w:b/>
          <w:i w:val="0"/>
          <w:color w:val="2E7D32"/>
          <w:sz w:val="26"/>
        </w:rPr>
        <w:t>5. Influence of government (company taxation · GST · ASIC)</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government influences financial management through taxation and through ASIC, the regulator that oversees companies and financial markets to ensure adherence to corporate legislation (the ASIC Act 2001 and Corporations Act 2001).</w:t>
      </w:r>
    </w:p>
    <w:p>
      <w:pPr>
        <w:pStyle w:val="ListBullet"/>
        <w:spacing w:after="40"/>
      </w:pPr>
      <w:r>
        <w:rPr>
          <w:b w:val="0"/>
          <w:i w:val="0"/>
        </w:rPr>
        <w:t>ASIC: responsible for regulating and overseeing companies operating in Australia, public and private — ensuring businesses operate transparently, adhere to regulation, maintain appropriate financial information and protect consumers (APRA separately supervises the stability of financial institutions).</w:t>
      </w:r>
    </w:p>
    <w:p>
      <w:pPr>
        <w:pStyle w:val="ListBullet"/>
        <w:spacing w:after="40"/>
      </w:pPr>
      <w:r>
        <w:rPr>
          <w:b w:val="0"/>
          <w:i w:val="0"/>
        </w:rPr>
        <w:t>Company tax: the 30% tax companies must pay the government on the profits they earn — a direct reduction in the profit available to retain and reinvest.</w:t>
      </w:r>
    </w:p>
    <w:p>
      <w:pPr>
        <w:pStyle w:val="ListBullet"/>
        <w:spacing w:after="40"/>
      </w:pPr>
      <w:r>
        <w:rPr>
          <w:b w:val="0"/>
          <w:i w:val="0"/>
        </w:rPr>
        <w:t>GST (not covered in your notes — standard syllabus content): a 10% broad-based tax on goods and services that businesses collect and remit to the ATO — adding record-keeping and cash-flow management obligations, since GST collected must be set aside.</w:t>
      </w:r>
    </w:p>
    <w:p>
      <w:pPr>
        <w:pStyle w:val="ListBullet"/>
        <w:spacing w:after="40"/>
      </w:pPr>
      <w:r>
        <w:rPr>
          <w:b w:val="0"/>
          <w:i w:val="0"/>
        </w:rPr>
        <w:t>Government spending and policy also flow through — e.g. JobKeeper payments during Covid to subsidise employees.</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PROFITABILITY: company tax directly cuts net profit after tax — and the tax deductibility of interest (but not dividends) tilts the debt-vs-equity PLANNING decision.</w:t>
      </w:r>
    </w:p>
    <w:p>
      <w:pPr>
        <w:pStyle w:val="ListBullet"/>
        <w:spacing w:after="40"/>
      </w:pPr>
      <w:r>
        <w:rPr>
          <w:b/>
          <w:i w:val="0"/>
          <w:color w:val="B05400"/>
        </w:rPr>
        <w:t xml:space="preserve">LINK → </w:t>
      </w:r>
      <w:r>
        <w:rPr>
          <w:b w:val="0"/>
          <w:i w:val="0"/>
        </w:rPr>
        <w:t>MONITORING &amp; CONTROLLING: ASIC’s reporting and disclosure demands set the standard the financial statements must meet.</w:t>
      </w:r>
    </w:p>
    <w:p>
      <w:pPr>
        <w:spacing w:after="20" w:before="80"/>
      </w:pPr>
      <w:r>
        <w:rPr>
          <w:b/>
          <w:i w:val="0"/>
          <w:color w:val="C00000"/>
          <w:sz w:val="19"/>
        </w:rPr>
        <w:t>QANTAS CASE STUDY (paragraph 2)</w:t>
      </w:r>
    </w:p>
    <w:p>
      <w:pPr>
        <w:pStyle w:val="ListBullet"/>
        <w:spacing w:after="40"/>
      </w:pPr>
      <w:r>
        <w:rPr>
          <w:b w:val="0"/>
          <w:i w:val="0"/>
        </w:rPr>
        <w:t>ASIC forced Qantas to revoke its $201m interim dividend payment amid economic uncertainty, and in 2023 mandated more detailed and frequent updates on Qantas’ capital and liquidity.</w:t>
      </w:r>
    </w:p>
    <w:p>
      <w:pPr>
        <w:pStyle w:val="ListBullet"/>
        <w:spacing w:after="40"/>
      </w:pPr>
      <w:r>
        <w:rPr>
          <w:b w:val="0"/>
          <w:i w:val="0"/>
        </w:rPr>
        <w:t>Company tax: paid $670m in company taxation in FY22-23 — yet paid little or none through the Covid years, with ~$7b in accumulated losses carried forward.</w:t>
      </w:r>
    </w:p>
    <w:p>
      <w:pPr>
        <w:pStyle w:val="ListBullet"/>
        <w:spacing w:after="40"/>
      </w:pPr>
      <w:r>
        <w:rPr>
          <w:b w:val="0"/>
          <w:i w:val="0"/>
        </w:rPr>
        <w:t>Government spending: ~$900m in JobKeeper payments, within $2.7b of government assistance through Covid.</w:t>
      </w:r>
    </w:p>
    <w:p>
      <w:pPr>
        <w:pStyle w:val="ListBullet"/>
        <w:spacing w:after="40"/>
      </w:pPr>
      <w:r>
        <w:rPr>
          <w:b w:val="0"/>
          <w:i w:val="0"/>
        </w:rPr>
        <w:t>GST gap: the notes hold no Qantas-specific GST figure — lean on the company-tax and ASIC evidence above.</w:t>
      </w:r>
    </w:p>
    <w:p>
      <w:pPr>
        <w:spacing w:after="40" w:before="200"/>
      </w:pPr>
      <w:r>
        <w:rPr>
          <w:b/>
          <w:i w:val="0"/>
          <w:color w:val="2E7D32"/>
          <w:sz w:val="26"/>
        </w:rPr>
        <w:t>6. Global market influences (economic outlook · availability of funds · interest rates)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global market influences are the factors affecting the demand, supply and pricing of goods and services in international markets — external factors beyond the business’s control.</w:t>
      </w:r>
    </w:p>
    <w:p>
      <w:pPr>
        <w:pStyle w:val="ListBullet"/>
        <w:spacing w:after="40"/>
      </w:pPr>
      <w:r>
        <w:rPr>
          <w:b w:val="0"/>
          <w:i w:val="0"/>
        </w:rPr>
        <w:t>Economic outlook: the projected changes to the level of economic growth throughout the world, evaluated through indicators — growth, inflation, employment, consumer spending, market trends. An expected upturn encourages borrowing and investment; a downturn cuts both.</w:t>
      </w:r>
    </w:p>
    <w:p>
      <w:pPr>
        <w:pStyle w:val="ListBullet"/>
        <w:spacing w:after="40"/>
      </w:pPr>
      <w:r>
        <w:rPr>
          <w:b w:val="0"/>
          <w:i w:val="0"/>
        </w:rPr>
        <w:t>Availability of funds: the ease with which a business can access funds on international financial markets — when funds are difficult to access (e.g. the GFC) they become more expensive, and vice versa.</w:t>
      </w:r>
    </w:p>
    <w:p>
      <w:pPr>
        <w:pStyle w:val="ListBullet"/>
        <w:spacing w:after="40"/>
      </w:pPr>
      <w:r>
        <w:rPr>
          <w:b w:val="0"/>
          <w:i w:val="0"/>
        </w:rPr>
        <w:t>Interest rates: the cost of borrowing money — if Australia is perceived as risky, Australian rates rise; a business can borrow overseas where rates are lower but must weigh currency fluctuations. Rates directly affect the cost of borrowing and therefore the availability of funds.</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PLANNING &amp; IMPLEMENTING: the outlook and the rate environment decide WHEN and WHERE finance is raised and at what cost.</w:t>
      </w:r>
    </w:p>
    <w:p>
      <w:pPr>
        <w:pStyle w:val="ListBullet"/>
        <w:spacing w:after="40"/>
      </w:pPr>
      <w:r>
        <w:rPr>
          <w:b/>
          <w:i w:val="0"/>
          <w:color w:val="B05400"/>
        </w:rPr>
        <w:t xml:space="preserve">LINK → </w:t>
      </w:r>
      <w:r>
        <w:rPr>
          <w:b w:val="0"/>
          <w:i w:val="0"/>
        </w:rPr>
        <w:t>PROFITABILITY &amp; SOLVENCY: rate rises inflate debt-servicing costs on existing borrowings, squeezing profit and stressing a geared balance sheet.</w:t>
      </w:r>
    </w:p>
    <w:p>
      <w:pPr>
        <w:spacing w:after="20" w:before="80"/>
      </w:pPr>
      <w:r>
        <w:rPr>
          <w:b/>
          <w:i w:val="0"/>
          <w:color w:val="C00000"/>
          <w:sz w:val="19"/>
        </w:rPr>
        <w:t>QANTAS CASE STUDY (paragraph 2)</w:t>
      </w:r>
    </w:p>
    <w:p>
      <w:pPr>
        <w:pStyle w:val="ListBullet"/>
        <w:spacing w:after="40"/>
      </w:pPr>
      <w:r>
        <w:rPr>
          <w:b w:val="0"/>
          <w:i w:val="0"/>
        </w:rPr>
        <w:t>Economic outlook: net profit fell 88% after the GFC; IATA forecasts passenger demand doubling over the next 20 years with Asia growing 4.7% p.a. to 3.1b passengers by 2035; global growth is expected to slow from 3% to 2.9%.</w:t>
      </w:r>
    </w:p>
    <w:p>
      <w:pPr>
        <w:pStyle w:val="ListBullet"/>
        <w:spacing w:after="40"/>
      </w:pPr>
      <w:r>
        <w:rPr>
          <w:b w:val="0"/>
          <w:i w:val="0"/>
        </w:rPr>
        <w:t>Availability of funds: the post-GFC squeeze forced Qantas to cut flying capacity, cancel or postpone new plane orders, restructure staff and replace Qantas with Jetstar on some international routes.</w:t>
      </w:r>
    </w:p>
    <w:p>
      <w:pPr>
        <w:pStyle w:val="ListBullet"/>
        <w:spacing w:after="40"/>
      </w:pPr>
      <w:r>
        <w:rPr>
          <w:b w:val="0"/>
          <w:i w:val="0"/>
        </w:rPr>
        <w:t>Interest rates: the 0.1% Covid cash rate (to April 2022) slashed servicing costs and freed cash — flying activity rose 132% in FY23 vs FY22; the post-Covid tightening cycle then added $250m to debt-servicing costs (global average central-bank rate 4.5%, Australia 4.35%, US Fed 5.25–5.50%).</w:t>
      </w:r>
    </w:p>
    <w:p>
      <w:pPr>
        <w:spacing w:after="80" w:before="240"/>
        <w:shd w:val="clear" w:fill="8E242A"/>
        <w:ind w:left="120"/>
      </w:pPr>
      <w:r>
        <w:rPr>
          <w:b/>
          <w:i w:val="0"/>
          <w:color w:val="FFFFFF"/>
          <w:sz w:val="26"/>
        </w:rPr>
        <w:t>PART B — FINANCIAL PROCESSES</w:t>
      </w:r>
    </w:p>
    <w:p>
      <w:pPr>
        <w:spacing w:after="160" w:before="40"/>
      </w:pPr>
      <w:r>
        <w:rPr>
          <w:b w:val="0"/>
          <w:i/>
          <w:color w:val="555555"/>
        </w:rPr>
        <w:t>Financial processes are the methods, procedures and actions a business takes to finance its operations effectively: plan and implement → monitor with the statements → test with ratios → know the limits of the reports. Structure: define it → state WHERE it sits in the process and which objective it measures or protects (the LINK) → prove it with Qantas.</w:t>
      </w:r>
    </w:p>
    <w:p>
      <w:pPr>
        <w:spacing w:after="40" w:before="200"/>
      </w:pPr>
      <w:r>
        <w:rPr>
          <w:b/>
          <w:i w:val="0"/>
          <w:color w:val="8E242A"/>
          <w:sz w:val="26"/>
        </w:rPr>
        <w:t>1. Planning and implementing (financial needs · budgets · record systems · financial risks · financial controls)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planning is the process of making a comprehensive financial plan or budget that outlines the financial goals, objectives and strategies of the company — five steps (FBRFF): financial needs, budgets, record systems, financial risks, financial controls.</w:t>
      </w:r>
    </w:p>
    <w:p>
      <w:pPr>
        <w:pStyle w:val="ListBullet"/>
        <w:spacing w:after="40"/>
      </w:pPr>
      <w:r>
        <w:rPr>
          <w:b w:val="0"/>
          <w:i w:val="0"/>
        </w:rPr>
        <w:t>Financial needs (planning): assess the current financial situation, identify goals, estimate their cost and the resources available, then build the plan — proactive planning that identifies potential shortfalls and opportunities for growth.</w:t>
      </w:r>
    </w:p>
    <w:p>
      <w:pPr>
        <w:pStyle w:val="ListBullet"/>
        <w:spacing w:after="40"/>
      </w:pPr>
      <w:r>
        <w:rPr>
          <w:b w:val="0"/>
          <w:i w:val="0"/>
        </w:rPr>
        <w:t>Budgets (planning): a plan for spending the business’s money so all spending supports strategic objectives — also essential for obtaining finance, giving lenders and investors a clear picture of the financial situation.</w:t>
      </w:r>
    </w:p>
    <w:p>
      <w:pPr>
        <w:pStyle w:val="ListBullet"/>
        <w:spacing w:after="40"/>
      </w:pPr>
      <w:r>
        <w:rPr>
          <w:b w:val="0"/>
          <w:i w:val="0"/>
        </w:rPr>
        <w:t>Record systems (implementing): the mechanisms ensuring recorded data is accurate, reliable, efficient and accessible — the three main financial records are the balance sheet, income statement and cash flow statement.</w:t>
      </w:r>
    </w:p>
    <w:p>
      <w:pPr>
        <w:pStyle w:val="ListBullet"/>
        <w:spacing w:after="40"/>
      </w:pPr>
      <w:r>
        <w:rPr>
          <w:b w:val="0"/>
          <w:i w:val="0"/>
        </w:rPr>
        <w:t>Financial risks (planning): the potential for losses from financial activities or market conditions — market risk (exchange rates, commodity prices, interest rates) and credit risk (customers failing to pay).</w:t>
      </w:r>
    </w:p>
    <w:p>
      <w:pPr>
        <w:pStyle w:val="ListBullet"/>
        <w:spacing w:after="40"/>
      </w:pPr>
      <w:r>
        <w:rPr>
          <w:b w:val="0"/>
          <w:i w:val="0"/>
        </w:rPr>
        <w:t>Financial controls (implementing): measures to manage and protect financial resources, usually implemented after identifying risks — internal audits scrutinising operations for discrepancies, and budget-to-actual variance analysis exposing over/underspending.</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This is the FRONT END of the financial processes — every Part C strategy is the "implementing" of what is planned here.</w:t>
      </w:r>
    </w:p>
    <w:p>
      <w:pPr>
        <w:pStyle w:val="ListBullet"/>
        <w:spacing w:after="40"/>
      </w:pPr>
      <w:r>
        <w:rPr>
          <w:b/>
          <w:i w:val="0"/>
          <w:color w:val="B05400"/>
        </w:rPr>
        <w:t xml:space="preserve">LINK → </w:t>
      </w:r>
      <w:r>
        <w:rPr>
          <w:b w:val="0"/>
          <w:i w:val="0"/>
        </w:rPr>
        <w:t>LIQUIDITY &amp; PROFITABILITY: budgets and controls are how cash shortfalls and cost blowouts are caught before they damage the objectives.</w:t>
      </w:r>
    </w:p>
    <w:p>
      <w:pPr>
        <w:spacing w:after="20" w:before="80"/>
      </w:pPr>
      <w:r>
        <w:rPr>
          <w:b/>
          <w:i w:val="0"/>
          <w:color w:val="C00000"/>
          <w:sz w:val="19"/>
        </w:rPr>
        <w:t>QANTAS CASE STUDY (paragraph 2)</w:t>
      </w:r>
    </w:p>
    <w:p>
      <w:pPr>
        <w:pStyle w:val="ListBullet"/>
        <w:spacing w:after="40"/>
      </w:pPr>
      <w:r>
        <w:rPr>
          <w:b w:val="0"/>
          <w:i w:val="0"/>
        </w:rPr>
        <w:t>Planning for market risk: 2023 financial forecasting projected the fuel bill would rise by ~$200m in H1 2024 even after hedging, as fuel prices rose more than 30% from May 2023.</w:t>
      </w:r>
    </w:p>
    <w:p>
      <w:pPr>
        <w:pStyle w:val="ListBullet"/>
        <w:spacing w:after="40"/>
      </w:pPr>
      <w:r>
        <w:rPr>
          <w:b w:val="0"/>
          <w:i w:val="0"/>
        </w:rPr>
        <w:t>The risk is structural: ~38% of revenue is earned in foreign currencies and 65% of fuel for domestic operations is sourced overseas — managed by hedging (50% of fuel hedged in FY24, 90% during Covid).</w:t>
      </w:r>
    </w:p>
    <w:p>
      <w:pPr>
        <w:pStyle w:val="ListBullet"/>
        <w:spacing w:after="40"/>
      </w:pPr>
      <w:r>
        <w:rPr>
          <w:b w:val="0"/>
          <w:i w:val="0"/>
        </w:rPr>
        <w:t>Controls: a strong internal control system, a code of conduct and strict adherence to accounting standards; the FY22-23 cash flow statement identified $3.32b of unnecessary expenditure to strip out.</w:t>
      </w:r>
    </w:p>
    <w:p>
      <w:pPr>
        <w:spacing w:after="40" w:before="200"/>
      </w:pPr>
      <w:r>
        <w:rPr>
          <w:b/>
          <w:i w:val="0"/>
          <w:color w:val="8E242A"/>
          <w:sz w:val="26"/>
        </w:rPr>
        <w:t>2. Debt vs equity financing — advantages and disadvantages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core financing decision: borrowed funds that must be repaid with interest (debt) versus funds raised by selling a share of ownership (equity).</w:t>
      </w:r>
    </w:p>
    <w:p>
      <w:pPr>
        <w:pStyle w:val="ListBullet"/>
        <w:spacing w:after="40"/>
      </w:pPr>
      <w:r>
        <w:rPr>
          <w:b w:val="0"/>
          <w:i w:val="0"/>
        </w:rPr>
        <w:t>Debt — advantages: no dilution or change to the ownership structure; a more straightforward and quicker process; interest repayments are tax deductible; borrowings can be varied to suit changing circumstances.</w:t>
      </w:r>
    </w:p>
    <w:p>
      <w:pPr>
        <w:pStyle w:val="ListBullet"/>
        <w:spacing w:after="40"/>
      </w:pPr>
      <w:r>
        <w:rPr>
          <w:b w:val="0"/>
          <w:i w:val="0"/>
        </w:rPr>
        <w:t>Debt — disadvantages: interest repayments must be made; repayment obligations stand regardless of profit — missed payments damage the credit rating; involves greater risk (lifts gearing).</w:t>
      </w:r>
    </w:p>
    <w:p>
      <w:pPr>
        <w:pStyle w:val="ListBullet"/>
        <w:spacing w:after="40"/>
      </w:pPr>
      <w:r>
        <w:rPr>
          <w:b w:val="0"/>
          <w:i w:val="0"/>
        </w:rPr>
        <w:t>Equity — advantages: no repayment obligations and no addition to debt levels (less risk); no interest; access to investor expertise and advice.</w:t>
      </w:r>
    </w:p>
    <w:p>
      <w:pPr>
        <w:pStyle w:val="ListBullet"/>
        <w:spacing w:after="40"/>
      </w:pPr>
      <w:r>
        <w:rPr>
          <w:b w:val="0"/>
          <w:i w:val="0"/>
        </w:rPr>
        <w:t>Equity — disadvantages: dilution of ownership (shareholders gain voting rights); dividends are not tax deductible; a complex, time-consuming process (prospectus).</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SOLVENCY: the debt/equity mix sets the gearing ratio — the direct measure of long-term stability.</w:t>
      </w:r>
    </w:p>
    <w:p>
      <w:pPr>
        <w:pStyle w:val="ListBullet"/>
        <w:spacing w:after="40"/>
      </w:pPr>
      <w:r>
        <w:rPr>
          <w:b/>
          <w:i w:val="0"/>
          <w:color w:val="B05400"/>
        </w:rPr>
        <w:t xml:space="preserve">LINK → </w:t>
      </w:r>
      <w:r>
        <w:rPr>
          <w:b w:val="0"/>
          <w:i w:val="0"/>
        </w:rPr>
        <w:t>PROFITABILITY: tax-deductible interest vs non-deductible dividends changes net profit — this choice is the heart of PLANNING &amp; IMPLEMENTING.</w:t>
      </w:r>
    </w:p>
    <w:p>
      <w:pPr>
        <w:spacing w:after="20" w:before="80"/>
      </w:pPr>
      <w:r>
        <w:rPr>
          <w:b/>
          <w:i w:val="0"/>
          <w:color w:val="C00000"/>
          <w:sz w:val="19"/>
        </w:rPr>
        <w:t>QANTAS CASE STUDY (paragraph 2)</w:t>
      </w:r>
    </w:p>
    <w:p>
      <w:pPr>
        <w:pStyle w:val="ListBullet"/>
        <w:spacing w:after="40"/>
      </w:pPr>
      <w:r>
        <w:rPr>
          <w:b w:val="0"/>
          <w:i w:val="0"/>
        </w:rPr>
        <w:t>Used both at once in 2020: a $1.9b equity raising ($1.4b placements + $500m SPP) to protect the balance sheet, alongside $1.7b of debt secured against 16 aircraft for speed.</w:t>
      </w:r>
    </w:p>
    <w:p>
      <w:pPr>
        <w:pStyle w:val="ListBullet"/>
        <w:spacing w:after="40"/>
      </w:pPr>
      <w:r>
        <w:rPr>
          <w:b w:val="0"/>
          <w:i w:val="0"/>
        </w:rPr>
        <w:t>Debt’s cheapness on display: 3.15% on the 2022 $500m unsecured note and ~5.25% on debentures — with the interest tax deductible.</w:t>
      </w:r>
    </w:p>
    <w:p>
      <w:pPr>
        <w:pStyle w:val="ListBullet"/>
        <w:spacing w:after="40"/>
      </w:pPr>
      <w:r>
        <w:rPr>
          <w:b w:val="0"/>
          <w:i w:val="0"/>
        </w:rPr>
        <w:t>The consequence shows in the ratios: gearing blew out to ~1,069:1 in 2023 as ~$7b of accumulated pandemic losses gutted equity, before recovering to 22:1 in 2024.</w:t>
      </w:r>
    </w:p>
    <w:p>
      <w:pPr>
        <w:spacing w:after="40" w:before="200"/>
      </w:pPr>
      <w:r>
        <w:rPr>
          <w:b/>
          <w:i w:val="0"/>
          <w:color w:val="8E242A"/>
          <w:sz w:val="26"/>
        </w:rPr>
        <w:t>3. Matching the terms and source of finance to business purpose</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selecting the most appropriate financing option for a specific business purpose, ensuring the business has the funds to achieve its objectives without taking on more risk or debt than necessary — the choice depends on the cost of financing, creditworthiness, length of the loan and purpose of the funds.</w:t>
      </w:r>
    </w:p>
    <w:p>
      <w:pPr>
        <w:pStyle w:val="ListBullet"/>
        <w:spacing w:after="40"/>
      </w:pPr>
      <w:r>
        <w:rPr>
          <w:b w:val="0"/>
          <w:i w:val="0"/>
        </w:rPr>
        <w:t>Terms = the conditions and requirements of the loan (repayment period, interest rate, payment schedule, penalties). Purpose = why the company raises money (start or expand a business, pay expenses, buy equipment).</w:t>
      </w:r>
    </w:p>
    <w:p>
      <w:pPr>
        <w:pStyle w:val="ListBullet"/>
        <w:spacing w:after="40"/>
      </w:pPr>
      <w:r>
        <w:rPr>
          <w:b w:val="0"/>
          <w:i w:val="0"/>
        </w:rPr>
        <w:t>The matching rule: short-term finance should fund current assets or immediate expenses; long-term finance should fund non-current assets like property.</w:t>
      </w:r>
    </w:p>
    <w:p>
      <w:pPr>
        <w:pStyle w:val="ListBullet"/>
        <w:spacing w:after="40"/>
      </w:pPr>
      <w:r>
        <w:rPr>
          <w:b w:val="0"/>
          <w:i w:val="0"/>
        </w:rPr>
        <w:t>The mismatch cost: using short-term finance for long-term assets means interest rates too high = cost inefficient (and rolling refinancing risk).</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LIQUIDITY &amp; SOLVENCY: correct matching keeps short-term obligations coverable while long-term gearing stays appropriate to the asset life funding it.</w:t>
      </w:r>
    </w:p>
    <w:p>
      <w:pPr>
        <w:pStyle w:val="ListBullet"/>
        <w:spacing w:after="40"/>
      </w:pPr>
      <w:r>
        <w:rPr>
          <w:b/>
          <w:i w:val="0"/>
          <w:color w:val="B05400"/>
        </w:rPr>
        <w:t xml:space="preserve">LINK → </w:t>
      </w:r>
      <w:r>
        <w:rPr>
          <w:b w:val="0"/>
          <w:i w:val="0"/>
        </w:rPr>
        <w:t>A PLANNING &amp; IMPLEMENTING discipline that every financing decision in Part A runs through.</w:t>
      </w:r>
    </w:p>
    <w:p>
      <w:pPr>
        <w:spacing w:after="20" w:before="80"/>
      </w:pPr>
      <w:r>
        <w:rPr>
          <w:b/>
          <w:i w:val="0"/>
          <w:color w:val="C00000"/>
          <w:sz w:val="19"/>
        </w:rPr>
        <w:t>QANTAS CASE STUDY (paragraph 2)</w:t>
      </w:r>
    </w:p>
    <w:p>
      <w:pPr>
        <w:pStyle w:val="ListBullet"/>
        <w:spacing w:after="40"/>
      </w:pPr>
      <w:r>
        <w:rPr>
          <w:b w:val="0"/>
          <w:i w:val="0"/>
        </w:rPr>
        <w:t>Short-term purposes matched short: a $1.2b overdraft and a $300m standby facility to draw on when creditors must be paid.</w:t>
      </w:r>
    </w:p>
    <w:p>
      <w:pPr>
        <w:pStyle w:val="ListBullet"/>
        <w:spacing w:after="40"/>
      </w:pPr>
      <w:r>
        <w:rPr>
          <w:b w:val="0"/>
          <w:i w:val="0"/>
        </w:rPr>
        <w:t>Long-term assets matched long: aircraft funded by the $400m debenture secured against 787-9s, the $1.05b mortgage-style loan against aircraft, and leasing for 46% of the fleet.</w:t>
      </w:r>
    </w:p>
    <w:p>
      <w:pPr>
        <w:pStyle w:val="ListBullet"/>
        <w:spacing w:after="40"/>
      </w:pPr>
      <w:r>
        <w:rPr>
          <w:b w:val="0"/>
          <w:i w:val="0"/>
        </w:rPr>
        <w:t>The ~$12b five-year fleet order is financed with a mix of long-term debt and equity — never with short-term facilities.</w:t>
      </w:r>
    </w:p>
    <w:p>
      <w:pPr>
        <w:spacing w:after="40" w:before="200"/>
      </w:pPr>
      <w:r>
        <w:rPr>
          <w:b/>
          <w:i w:val="0"/>
          <w:color w:val="8E242A"/>
          <w:sz w:val="26"/>
        </w:rPr>
        <w:t>4. Monitoring and controlling — cash flow statement · income statement · balance sheet</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monitoring and controlling uses the three key financial statements to track whether plans are being achieved and to trigger corrective action.</w:t>
      </w:r>
    </w:p>
    <w:p>
      <w:pPr>
        <w:pStyle w:val="ListBullet"/>
        <w:spacing w:after="40"/>
      </w:pPr>
      <w:r>
        <w:rPr>
          <w:b w:val="0"/>
          <w:i w:val="0"/>
        </w:rPr>
        <w:t>Cash flow statement: the movement of cash receipts (inflows) and cash payments (outflows) over a period — split into operating activities (primary operations), investing activities (buying/selling NCA and investments) and financing activities (borrowing, repayment, equity). Assesses the ability to pay debts, fund expansion, and the need for external finance.</w:t>
      </w:r>
    </w:p>
    <w:p>
      <w:pPr>
        <w:pStyle w:val="ListBullet"/>
        <w:spacing w:after="40"/>
      </w:pPr>
      <w:r>
        <w:rPr>
          <w:b w:val="0"/>
          <w:i w:val="0"/>
        </w:rPr>
        <w:t>Income statement: a report of earnings and expenses revealing net profit over a period — Sales − COGS = Gross Profit; GP − expenses = Net Profit; expenses split into selling, administrative and finance expenses.</w:t>
      </w:r>
    </w:p>
    <w:p>
      <w:pPr>
        <w:pStyle w:val="ListBullet"/>
        <w:spacing w:after="40"/>
      </w:pPr>
      <w:r>
        <w:rPr>
          <w:b w:val="0"/>
          <w:i w:val="0"/>
        </w:rPr>
        <w:t>Balance sheet: assets and liabilities at a point in time, showing net worth — TA = TL + OE; CA (cash, inventory, receivables) vs NCA (property, equipment); analysis reveals the liquidity and gearing of the business.</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This IS the monitoring-and-controlling process: the statements feed the ratios, and the ratios quantify every objective — liquidity, solvency, profitability, efficiency.</w:t>
      </w:r>
    </w:p>
    <w:p>
      <w:pPr>
        <w:spacing w:after="20" w:before="80"/>
      </w:pPr>
      <w:r>
        <w:rPr>
          <w:b/>
          <w:i w:val="0"/>
          <w:color w:val="C00000"/>
          <w:sz w:val="19"/>
        </w:rPr>
        <w:t>QANTAS CASE STUDY (paragraph 2)</w:t>
      </w:r>
    </w:p>
    <w:p>
      <w:pPr>
        <w:pStyle w:val="ListBullet"/>
        <w:spacing w:after="40"/>
      </w:pPr>
      <w:r>
        <w:rPr>
          <w:b w:val="0"/>
          <w:i w:val="0"/>
        </w:rPr>
        <w:t>Cash flow statement: net cash flow of $3.62b in FY23-24; the FY22-23 CFS identified $3.32b of unnecessary expenditures.</w:t>
      </w:r>
    </w:p>
    <w:p>
      <w:pPr>
        <w:pStyle w:val="ListBullet"/>
        <w:spacing w:after="40"/>
      </w:pPr>
      <w:r>
        <w:rPr>
          <w:b w:val="0"/>
          <w:i w:val="0"/>
        </w:rPr>
        <w:t>Income statement: FY24 revenue up 10.7% to $21.94b with statutory profit after tax of $2.08b (down 16%), following $2.47b in FY23.</w:t>
      </w:r>
    </w:p>
    <w:p>
      <w:pPr>
        <w:pStyle w:val="ListBullet"/>
        <w:spacing w:after="40"/>
      </w:pPr>
      <w:r>
        <w:rPr>
          <w:b w:val="0"/>
          <w:i w:val="0"/>
        </w:rPr>
        <w:t>Balance sheet: FY22-23 current assets fell $5.6b → $5.1b while current liabilities rose $10.5b → $12b; net debt $4.1b in FY24; Qantas attaches comprehensive notes to its financial statements.</w:t>
      </w:r>
    </w:p>
    <w:p>
      <w:pPr>
        <w:spacing w:after="40" w:before="200"/>
      </w:pPr>
      <w:r>
        <w:rPr>
          <w:b/>
          <w:i w:val="0"/>
          <w:color w:val="8E242A"/>
          <w:sz w:val="26"/>
        </w:rPr>
        <w:t>5. Financial ratios — liquidity: current ratio (current assets ÷ current liabilities)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liquidity is the ability to quickly turn assets into cash to pay off short-term debts (CL); the current ratio = current assets ÷ current liabilities.</w:t>
      </w:r>
    </w:p>
    <w:p>
      <w:pPr>
        <w:pStyle w:val="ListBullet"/>
        <w:spacing w:after="40"/>
      </w:pPr>
      <w:r>
        <w:rPr>
          <w:b w:val="0"/>
          <w:i w:val="0"/>
        </w:rPr>
        <w:t>Benchmark 2:1 — for every $2 of CA the business holds $1 of CL. Under 1:1 = not liquid; between 1:1 and 2:1 = liquid but not liquid enough; over 2:1 = very liquid.</w:t>
      </w:r>
    </w:p>
    <w:p>
      <w:pPr>
        <w:pStyle w:val="ListBullet"/>
        <w:spacing w:after="40"/>
      </w:pPr>
      <w:r>
        <w:rPr>
          <w:b w:val="0"/>
          <w:i w:val="0"/>
        </w:rPr>
        <w:t>Too high a ratio is its own problem: excellent liquidity but idle cash — assets could be used more effectively.</w:t>
      </w:r>
    </w:p>
    <w:p>
      <w:pPr>
        <w:pStyle w:val="ListBullet"/>
        <w:spacing w:after="40"/>
      </w:pPr>
      <w:r>
        <w:rPr>
          <w:b w:val="0"/>
          <w:i w:val="0"/>
        </w:rPr>
        <w:t>Comparative ratio analysis gives the verdict meaning: compare over different time periods (trends), against industry standards (airlines ≈ 0.75:1), and with similar businesses.</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Measures the LIQUIDITY objective directly; the verdict drives the cash flow and working capital strategies in Part C.</w:t>
      </w:r>
    </w:p>
    <w:p>
      <w:pPr>
        <w:spacing w:after="20" w:before="80"/>
      </w:pPr>
      <w:r>
        <w:rPr>
          <w:b/>
          <w:i w:val="0"/>
          <w:color w:val="C00000"/>
          <w:sz w:val="19"/>
        </w:rPr>
        <w:t>QANTAS CASE STUDY (paragraph 2)</w:t>
      </w:r>
    </w:p>
    <w:p>
      <w:pPr>
        <w:pStyle w:val="ListBullet"/>
        <w:spacing w:after="40"/>
      </w:pPr>
      <w:r>
        <w:rPr>
          <w:b w:val="0"/>
          <w:i w:val="0"/>
        </w:rPr>
        <w:t>Current ratio: 0.46:1 (2019) → 0.45:1 (2021) → 0.53:1 (2022) → 0.42:1 (2023) → 0.34:1 (2024) — below the ~0.75:1 airline standard and far below the 2:1 benchmark.</w:t>
      </w:r>
    </w:p>
    <w:p>
      <w:pPr>
        <w:pStyle w:val="ListBullet"/>
        <w:spacing w:after="40"/>
      </w:pPr>
      <w:r>
        <w:rPr>
          <w:b w:val="0"/>
          <w:i w:val="0"/>
        </w:rPr>
        <w:t>Against similar businesses: Singapore Airlines 1.1:1 and Air New Zealand 0.93:1 (2015).</w:t>
      </w:r>
    </w:p>
    <w:p>
      <w:pPr>
        <w:pStyle w:val="ListBullet"/>
        <w:spacing w:after="40"/>
      </w:pPr>
      <w:r>
        <w:rPr>
          <w:b w:val="0"/>
          <w:i w:val="0"/>
        </w:rPr>
        <w:t>Qantas compensates with a heavy bank overdraft — $1.2b readily available plus the $300m standby facility — and held $9.2b of liquid assets at H1 FY24.</w:t>
      </w:r>
    </w:p>
    <w:p>
      <w:pPr>
        <w:spacing w:after="40" w:before="200"/>
      </w:pPr>
      <w:r>
        <w:rPr>
          <w:b/>
          <w:i w:val="0"/>
          <w:color w:val="8E242A"/>
          <w:sz w:val="26"/>
        </w:rPr>
        <w:t>6. Financial ratios — gearing: debt-to-equity ratio (total liabilities ÷ total equity)</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gearing refers to the extent to which a company relies on debt to finance its operations; the debt-to-equity ratio = total liabilities ÷ total equity, and measures solvency — the long-term financial stability of the business.</w:t>
      </w:r>
    </w:p>
    <w:p>
      <w:pPr>
        <w:pStyle w:val="ListBullet"/>
        <w:spacing w:after="40"/>
      </w:pPr>
      <w:r>
        <w:rPr>
          <w:b w:val="0"/>
          <w:i w:val="0"/>
        </w:rPr>
        <w:t>No optimal level of gearing, but over 100% is considered highly geared and high risk; under 100% = low gearing/risk and high solvency/stability.</w:t>
      </w:r>
    </w:p>
    <w:p>
      <w:pPr>
        <w:pStyle w:val="ListBullet"/>
        <w:spacing w:after="40"/>
      </w:pPr>
      <w:r>
        <w:rPr>
          <w:b w:val="0"/>
          <w:i w:val="0"/>
        </w:rPr>
        <w:t>Used to determine the best and most appropriate form of finance for the next raising.</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Quantifies the SOLVENCY objective; the reading feeds straight back into the debt-vs-equity PLANNING decision.</w:t>
      </w:r>
    </w:p>
    <w:p>
      <w:pPr>
        <w:spacing w:after="20" w:before="80"/>
      </w:pPr>
      <w:r>
        <w:rPr>
          <w:b/>
          <w:i w:val="0"/>
          <w:color w:val="C00000"/>
          <w:sz w:val="19"/>
        </w:rPr>
        <w:t>QANTAS CASE STUDY (paragraph 2)</w:t>
      </w:r>
    </w:p>
    <w:p>
      <w:pPr>
        <w:pStyle w:val="ListBullet"/>
        <w:spacing w:after="40"/>
      </w:pPr>
      <w:r>
        <w:rPr>
          <w:b w:val="0"/>
          <w:i w:val="0"/>
        </w:rPr>
        <w:t>D/E: 1.69 (2020) → 13.41 (2021) → 32.5 (2022) → ~1,069 (2023) → 22:1 (2024) — the 2023 spike was less new borrowing than a collapsing denominator: ~$7b of accumulated pandemic losses (plus the $400m Climate Fund launch) shrank owners’ equity.</w:t>
      </w:r>
    </w:p>
    <w:p>
      <w:pPr>
        <w:pStyle w:val="ListBullet"/>
        <w:spacing w:after="40"/>
      </w:pPr>
      <w:r>
        <w:rPr>
          <w:b w:val="0"/>
          <w:i w:val="0"/>
        </w:rPr>
        <w:t>Capital intensive = inherently highly geared; relatively low gearing pre-Covid (shareholders’ funds ~$3b in 2019) compared with other airlines aided its survival.</w:t>
      </w:r>
    </w:p>
    <w:p>
      <w:pPr>
        <w:pStyle w:val="ListBullet"/>
        <w:spacing w:after="40"/>
      </w:pPr>
      <w:r>
        <w:rPr>
          <w:b w:val="0"/>
          <w:i w:val="0"/>
        </w:rPr>
        <w:t>Net debt $2.9b (2023) → $4.1b (2024) as the ~$12b fleet renewal ramps — the coming test of solvency.</w:t>
      </w:r>
    </w:p>
    <w:p>
      <w:pPr>
        <w:spacing w:after="40" w:before="200"/>
      </w:pPr>
      <w:r>
        <w:rPr>
          <w:b/>
          <w:i w:val="0"/>
          <w:color w:val="8E242A"/>
          <w:sz w:val="26"/>
        </w:rPr>
        <w:t>7. Financial ratios — profitability: gross profit ratio · net profit ratio · return on equity</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profitability ratios measure the business’s ability to generate revenue above its costs and expenses: GPR = gross profit ÷ sales; NPR = net profit ÷ sales; ROE = net profit ÷ total equity.</w:t>
      </w:r>
    </w:p>
    <w:p>
      <w:pPr>
        <w:pStyle w:val="ListBullet"/>
        <w:spacing w:after="40"/>
      </w:pPr>
      <w:r>
        <w:rPr>
          <w:b w:val="0"/>
          <w:i w:val="0"/>
        </w:rPr>
        <w:t>GPR: the proportion of profit before expenses (GP = Sales − COGS); a GPR of ~50–70% is generally considered healthy.</w:t>
      </w:r>
    </w:p>
    <w:p>
      <w:pPr>
        <w:pStyle w:val="ListBullet"/>
        <w:spacing w:after="40"/>
      </w:pPr>
      <w:r>
        <w:rPr>
          <w:b w:val="0"/>
          <w:i w:val="0"/>
        </w:rPr>
        <w:t>NPR: revenue kept after deducting all expenses (NP = GP − expenses); a weak NPR against a solid GPR signals expenses are too high.</w:t>
      </w:r>
    </w:p>
    <w:p>
      <w:pPr>
        <w:pStyle w:val="ListBullet"/>
        <w:spacing w:after="40"/>
      </w:pPr>
      <w:r>
        <w:rPr>
          <w:b w:val="0"/>
          <w:i w:val="0"/>
        </w:rPr>
        <w:t>ROE: how well the company manages the capital shareholders have invested — an ROE of 15% means 15c of return for every $1 of owners’ equity.</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Quantifies the PROFITABILITY objective; the results trigger the profitability management strategies (cost controls and revenue controls) in Part C.</w:t>
      </w:r>
    </w:p>
    <w:p>
      <w:pPr>
        <w:spacing w:after="20" w:before="80"/>
      </w:pPr>
      <w:r>
        <w:rPr>
          <w:b/>
          <w:i w:val="0"/>
          <w:color w:val="C00000"/>
          <w:sz w:val="19"/>
        </w:rPr>
        <w:t>QANTAS CASE STUDY (paragraph 2)</w:t>
      </w:r>
    </w:p>
    <w:p>
      <w:pPr>
        <w:pStyle w:val="ListBullet"/>
        <w:spacing w:after="40"/>
      </w:pPr>
      <w:r>
        <w:rPr>
          <w:b w:val="0"/>
          <w:i w:val="0"/>
        </w:rPr>
        <w:t>NPR: 7.4% (2019) → −30% (2021) → −20% (2022) → 12% (2023) → 9% (2024).</w:t>
      </w:r>
    </w:p>
    <w:p>
      <w:pPr>
        <w:pStyle w:val="ListBullet"/>
        <w:spacing w:after="40"/>
      </w:pPr>
      <w:r>
        <w:rPr>
          <w:b w:val="0"/>
          <w:i w:val="0"/>
        </w:rPr>
        <w:t>ROE: 44% (2019) → −354% (2021) → −978% (2022) → 247% (2023) → ~854% (2024, TradingView) — the wild swings reflect a collapsed equity base, not returns of that true size (a ready-made limitations point).</w:t>
      </w:r>
    </w:p>
    <w:p>
      <w:pPr>
        <w:pStyle w:val="ListBullet"/>
        <w:spacing w:after="40"/>
      </w:pPr>
      <w:r>
        <w:rPr>
          <w:b w:val="0"/>
          <w:i w:val="0"/>
        </w:rPr>
        <w:t>GPR gap: the notes contain no Qantas gross profit ratio — argue profitability with the NPR trend and the profit line ($2.47b FY23, $2.08b FY24) instead.</w:t>
      </w:r>
    </w:p>
    <w:p>
      <w:pPr>
        <w:spacing w:after="40" w:before="200"/>
      </w:pPr>
      <w:r>
        <w:rPr>
          <w:b/>
          <w:i w:val="0"/>
          <w:color w:val="8E242A"/>
          <w:sz w:val="26"/>
        </w:rPr>
        <w:t>8. Financial ratios — efficiency: expense ratio (total expenses ÷ sales) · accounts receivable turnover (sales ÷ accounts receivable)</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efficiency is the ability to generate profits while minimising costs and using resources effectively: the expense ratio measures how well expenses are managed relative to sales (lower is better); the ART ratio measures how efficiently the business collects its debts.</w:t>
      </w:r>
    </w:p>
    <w:p>
      <w:pPr>
        <w:pStyle w:val="ListBullet"/>
        <w:spacing w:after="40"/>
      </w:pPr>
      <w:r>
        <w:rPr>
          <w:b w:val="0"/>
          <w:i w:val="0"/>
        </w:rPr>
        <w:t>Expense ratio: total expenses ÷ sales — tracks expense management against revenue; a rising ratio means costs are growing faster than sales.</w:t>
      </w:r>
    </w:p>
    <w:p>
      <w:pPr>
        <w:pStyle w:val="ListBullet"/>
        <w:spacing w:after="40"/>
      </w:pPr>
      <w:r>
        <w:rPr>
          <w:b w:val="0"/>
          <w:i w:val="0"/>
        </w:rPr>
        <w:t>ART: sales ÷ accounts receivable, benchmark ~12 times a year (≈30 days); ART in days = 365 ÷ number of times (always round up).</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Quantifies the EFFICIENCY objective; a poor expense ratio triggers cost controls, and a slow ART triggers receivables strategies — discounts for early payment and factoring (Part C).</w:t>
      </w:r>
    </w:p>
    <w:p>
      <w:pPr>
        <w:spacing w:after="20" w:before="80"/>
      </w:pPr>
      <w:r>
        <w:rPr>
          <w:b/>
          <w:i w:val="0"/>
          <w:color w:val="C00000"/>
          <w:sz w:val="19"/>
        </w:rPr>
        <w:t>QANTAS CASE STUDY (paragraph 2)</w:t>
      </w:r>
    </w:p>
    <w:p>
      <w:pPr>
        <w:pStyle w:val="ListBullet"/>
        <w:spacing w:after="40"/>
      </w:pPr>
      <w:r>
        <w:rPr>
          <w:b w:val="0"/>
          <w:i w:val="0"/>
        </w:rPr>
        <w:t>Expense ratio: 92% (2019) → 135% (2021) → 110% (2022) → 86% (2023) → 90% (2024) — a strong recovery, then slight cost creep from wages, fuel and legal costs.</w:t>
      </w:r>
    </w:p>
    <w:p>
      <w:pPr>
        <w:pStyle w:val="ListBullet"/>
        <w:spacing w:after="40"/>
      </w:pPr>
      <w:r>
        <w:rPr>
          <w:b w:val="0"/>
          <w:i w:val="0"/>
        </w:rPr>
        <w:t>Supporting efficiency evidence: revenue seat factor 68% (2022) → 83% (2023, held in 2024); the H1 FY24 $400m efficiency initiative.</w:t>
      </w:r>
    </w:p>
    <w:p>
      <w:pPr>
        <w:pStyle w:val="ListBullet"/>
        <w:spacing w:after="40"/>
      </w:pPr>
      <w:r>
        <w:rPr>
          <w:b w:val="0"/>
          <w:i w:val="0"/>
        </w:rPr>
        <w:t>ART gap: no Qantas ART figure in the notes — adapt the balance-sheet receivables instead ($1.1b → $1.0b over FY22-23 while revenue rose, implying faster collection).</w:t>
      </w:r>
    </w:p>
    <w:p>
      <w:pPr>
        <w:spacing w:after="40" w:before="200"/>
      </w:pPr>
      <w:r>
        <w:rPr>
          <w:b/>
          <w:i w:val="0"/>
          <w:color w:val="8E242A"/>
          <w:sz w:val="26"/>
        </w:rPr>
        <w:t>9. Limitations of financial reports (normalised earnings · capitalising expenses · valuing assets · timing issues · debt repayments · notes to the financial statements)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potential shortcomings and drawbacks of using financial reports as a decision-making tool — businesses want their reports to look good, so reports can be manipulated by not revealing everything and highlighting the positives.</w:t>
      </w:r>
    </w:p>
    <w:p>
      <w:pPr>
        <w:pStyle w:val="ListBullet"/>
        <w:spacing w:after="40"/>
      </w:pPr>
      <w:r>
        <w:rPr>
          <w:b w:val="0"/>
          <w:i w:val="0"/>
        </w:rPr>
        <w:t>Normalised earnings: reported earnings adjusted to remove unusual or one-time items — useful, but a limitation because the adjustment allows subjectivity.</w:t>
      </w:r>
    </w:p>
    <w:p>
      <w:pPr>
        <w:pStyle w:val="ListBullet"/>
        <w:spacing w:after="40"/>
      </w:pPr>
      <w:r>
        <w:rPr>
          <w:b w:val="0"/>
          <w:i w:val="0"/>
        </w:rPr>
        <w:t>Capitalising expenses: treating certain costs (R&amp;D, property/plant/equipment, improvements, software) as assets rather than immediate expenses — inflates NCA and profit, potentially misleading investors about financial health.</w:t>
      </w:r>
    </w:p>
    <w:p>
      <w:pPr>
        <w:pStyle w:val="ListBullet"/>
        <w:spacing w:after="40"/>
      </w:pPr>
      <w:r>
        <w:rPr>
          <w:b w:val="0"/>
          <w:i w:val="0"/>
        </w:rPr>
        <w:t>Valuing assets: valuations rely on assumptions and projections (subjective); different methods give different values, and original cost can overstate assets that lose value through wear.</w:t>
      </w:r>
    </w:p>
    <w:p>
      <w:pPr>
        <w:pStyle w:val="ListBullet"/>
        <w:spacing w:after="40"/>
      </w:pPr>
      <w:r>
        <w:rPr>
          <w:b w:val="0"/>
          <w:i w:val="0"/>
        </w:rPr>
        <w:t>Timing issues: a mismatch between when a financial event happens and when it is recorded — delaying expenses inflates this year’s profit; rushing revenue recognition does the same (e.g. a $360,000 June payment spread into $30,000 monthly instalments).</w:t>
      </w:r>
    </w:p>
    <w:p>
      <w:pPr>
        <w:pStyle w:val="ListBullet"/>
        <w:spacing w:after="40"/>
      </w:pPr>
      <w:r>
        <w:rPr>
          <w:b w:val="0"/>
          <w:i w:val="0"/>
        </w:rPr>
        <w:t>Debt repayments: statements don’t fully convey the risk around debt — who might default, how long a creditor has been owed — distorting the financial position.</w:t>
      </w:r>
    </w:p>
    <w:p>
      <w:pPr>
        <w:pStyle w:val="ListBullet"/>
        <w:spacing w:after="40"/>
      </w:pPr>
      <w:r>
        <w:rPr>
          <w:b w:val="0"/>
          <w:i w:val="0"/>
        </w:rPr>
        <w:t>Notes to the financial statements: explain accounting policies and significant transactions — but can be so complex and inconsistent across companies that they overwhelm rather than inform.</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The caveat on MONITORING &amp; CONTROLLING: ratios are only as honest as the statements beneath them — comparative analysis over time and against standards is the defence.</w:t>
      </w:r>
    </w:p>
    <w:p>
      <w:pPr>
        <w:spacing w:after="20" w:before="80"/>
      </w:pPr>
      <w:r>
        <w:rPr>
          <w:b/>
          <w:i w:val="0"/>
          <w:color w:val="C00000"/>
          <w:sz w:val="19"/>
        </w:rPr>
        <w:t>QANTAS CASE STUDY (paragraph 2)</w:t>
      </w:r>
    </w:p>
    <w:p>
      <w:pPr>
        <w:pStyle w:val="ListBullet"/>
        <w:spacing w:after="40"/>
      </w:pPr>
      <w:r>
        <w:rPr>
          <w:b w:val="0"/>
          <w:i w:val="0"/>
        </w:rPr>
        <w:t>Attaches comprehensive notes to its financial statements — and uses a more complex ratio to measure gearing, painting a more favourable picture of solvency (a live limitation).</w:t>
      </w:r>
    </w:p>
    <w:p>
      <w:pPr>
        <w:pStyle w:val="ListBullet"/>
        <w:spacing w:after="40"/>
      </w:pPr>
      <w:r>
        <w:rPr>
          <w:b w:val="0"/>
          <w:i w:val="0"/>
        </w:rPr>
        <w:t>Valuing assets: aircraft are difficult to value as they change over time; one-off shocks (natural disasters, terrorist attacks, Covid) distort results — the case for normalised earnings.</w:t>
      </w:r>
    </w:p>
    <w:p>
      <w:pPr>
        <w:pStyle w:val="ListBullet"/>
        <w:spacing w:after="40"/>
      </w:pPr>
      <w:r>
        <w:rPr>
          <w:b w:val="0"/>
          <w:i w:val="0"/>
        </w:rPr>
        <w:t>The ROE series (247% → ~854%, after −978%) shows how a shrunken equity base renders a ratio meaningless without context.</w:t>
      </w:r>
    </w:p>
    <w:p>
      <w:pPr>
        <w:spacing w:after="40" w:before="200"/>
      </w:pPr>
      <w:r>
        <w:rPr>
          <w:b/>
          <w:i w:val="0"/>
          <w:color w:val="8E242A"/>
          <w:sz w:val="26"/>
        </w:rPr>
        <w:t>10. Ethical issues related to financial reports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ethical financial reporting means being completely open and honest about the financial status of a company — transparency, integrity and accountability in preparing and presenting financial information, free from bias and misrepresentation, complying with all laws and accounting standards.</w:t>
      </w:r>
    </w:p>
    <w:p>
      <w:pPr>
        <w:pStyle w:val="ListBullet"/>
        <w:spacing w:after="40"/>
      </w:pPr>
      <w:r>
        <w:rPr>
          <w:b w:val="0"/>
          <w:i w:val="0"/>
        </w:rPr>
        <w:t>Why it matters: maintains investor confidence, protects the interests of stakeholders, and ensures the trustworthiness and stability of the Australian financial market.</w:t>
      </w:r>
    </w:p>
    <w:p>
      <w:pPr>
        <w:pStyle w:val="ListBullet"/>
        <w:spacing w:after="40"/>
      </w:pPr>
      <w:r>
        <w:rPr>
          <w:b w:val="0"/>
          <w:i w:val="0"/>
        </w:rPr>
        <w:t>The issues: compliance with accounting standards, transparency and disclosure, independent auditing, internal controls, and a clear code of conduct.</w:t>
      </w:r>
    </w:p>
    <w:p>
      <w:pPr>
        <w:pStyle w:val="ListBullet"/>
        <w:spacing w:after="40"/>
      </w:pPr>
      <w:r>
        <w:rPr>
          <w:b w:val="0"/>
          <w:i w:val="0"/>
        </w:rPr>
        <w:t>Staying ethical: adopt a code of ethics; report objectively; conduct regular internal audits on top of the mandatory external audit; disclose relevant information (conflicts of interest, risks and uncertainties); implement robust internal controls so reports are accurate and reliable.</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Underpins MONITORING &amp; CONTROLLING: unethical reporting corrupts the very statements and ratios every objective is judged by — and invites regulator (ASIC) intervention.</w:t>
      </w:r>
    </w:p>
    <w:p>
      <w:pPr>
        <w:spacing w:after="20" w:before="80"/>
      </w:pPr>
      <w:r>
        <w:rPr>
          <w:b/>
          <w:i w:val="0"/>
          <w:color w:val="C00000"/>
          <w:sz w:val="19"/>
        </w:rPr>
        <w:t>QANTAS CASE STUDY (paragraph 2)</w:t>
      </w:r>
    </w:p>
    <w:p>
      <w:pPr>
        <w:pStyle w:val="ListBullet"/>
        <w:spacing w:after="40"/>
      </w:pPr>
      <w:r>
        <w:rPr>
          <w:b w:val="0"/>
          <w:i w:val="0"/>
        </w:rPr>
        <w:t>Has a code of conduct and ethics policy, a strong internal control system, and adheres strictly to accounting standards and legal regulations.</w:t>
      </w:r>
    </w:p>
    <w:p>
      <w:pPr>
        <w:pStyle w:val="ListBullet"/>
        <w:spacing w:after="40"/>
      </w:pPr>
      <w:r>
        <w:rPr>
          <w:b w:val="0"/>
          <w:i w:val="0"/>
        </w:rPr>
        <w:t>Regulator pressure as the ethics check: ASIC forced Qantas to revoke its $201m interim dividend amid economic uncertainty, and in 2023 mandated more detailed and frequent updates on capital and liquidity.</w:t>
      </w:r>
    </w:p>
    <w:p>
      <w:pPr>
        <w:spacing w:after="80" w:before="240"/>
        <w:shd w:val="clear" w:fill="2E7D32"/>
        <w:ind w:left="120"/>
      </w:pPr>
      <w:r>
        <w:rPr>
          <w:b/>
          <w:i w:val="0"/>
          <w:color w:val="FFFFFF"/>
          <w:sz w:val="26"/>
        </w:rPr>
        <w:t>PART C — FINANCIAL MANAGEMENT STRATEGIES</w:t>
      </w:r>
    </w:p>
    <w:p>
      <w:pPr>
        <w:spacing w:after="160" w:before="40"/>
      </w:pPr>
      <w:r>
        <w:rPr>
          <w:b w:val="0"/>
          <w:i/>
          <w:color w:val="555555"/>
        </w:rPr>
        <w:t>A financial management strategy is a tool or method a business uses to execute its financial processes. Structure: define it → state WHICH objective it moves and which process it executes (the LINK) → prove it with Qantas.</w:t>
      </w:r>
    </w:p>
    <w:p>
      <w:pPr>
        <w:spacing w:after="40" w:before="200"/>
      </w:pPr>
      <w:r>
        <w:rPr>
          <w:b/>
          <w:i w:val="0"/>
          <w:color w:val="2E7D32"/>
          <w:sz w:val="26"/>
        </w:rPr>
        <w:t>1. Cash flow management (distribution of payments · discounts for early payment · factoring)</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monitoring, analysing and optimising the cash inflows and outflows of the business to ensure there is enough cash to meet financial obligations and support growth — imperative for making payments when due and avoiding penalties and additional interest.</w:t>
      </w:r>
    </w:p>
    <w:p>
      <w:pPr>
        <w:pStyle w:val="ListBullet"/>
        <w:spacing w:after="40"/>
      </w:pPr>
      <w:r>
        <w:rPr>
          <w:b w:val="0"/>
          <w:i w:val="0"/>
        </w:rPr>
        <w:t>Start with the cash flow statement (current position), then cash flow forecasting — which determines the appropriate management strategy for temporary or longer cash shortfalls.</w:t>
      </w:r>
    </w:p>
    <w:p>
      <w:pPr>
        <w:pStyle w:val="ListBullet"/>
        <w:spacing w:after="40"/>
      </w:pPr>
      <w:r>
        <w:rPr>
          <w:b w:val="0"/>
          <w:i w:val="0"/>
        </w:rPr>
        <w:t>Distribution of payments: timing and prioritising outgoing payments — spreading expenses over the year (monthly), delaying payments to align outflows with periods of higher inflows, and paying in instalments so no single month causes a shortfall.</w:t>
      </w:r>
    </w:p>
    <w:p>
      <w:pPr>
        <w:pStyle w:val="ListBullet"/>
        <w:spacing w:after="40"/>
      </w:pPr>
      <w:r>
        <w:rPr>
          <w:b w:val="0"/>
          <w:i w:val="0"/>
        </w:rPr>
        <w:t>Discounts for early payment: offering reduced prices to customers who pay invoices before the due date — encouraging debtors to pay early accelerates inflows.</w:t>
      </w:r>
    </w:p>
    <w:p>
      <w:pPr>
        <w:pStyle w:val="ListBullet"/>
        <w:spacing w:after="40"/>
      </w:pPr>
      <w:r>
        <w:rPr>
          <w:b w:val="0"/>
          <w:i w:val="0"/>
        </w:rPr>
        <w:t>Factoring: selling receivables (invoices) to a third party (a factor) at a discount in exchange for immediate cash — instant inflow and reduced risk of non-payment.</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Moves the LIQUIDITY objective directly — smoothing outflows and accelerating inflows.</w:t>
      </w:r>
    </w:p>
    <w:p>
      <w:pPr>
        <w:pStyle w:val="ListBullet"/>
        <w:spacing w:after="40"/>
      </w:pPr>
      <w:r>
        <w:rPr>
          <w:b/>
          <w:i w:val="0"/>
          <w:color w:val="B05400"/>
        </w:rPr>
        <w:t xml:space="preserve">LINK → </w:t>
      </w:r>
      <w:r>
        <w:rPr>
          <w:b w:val="0"/>
          <w:i w:val="0"/>
        </w:rPr>
        <w:t>Executes what MONITORING (the cash flow statement and forecast) reveals about upcoming shortfalls.</w:t>
      </w:r>
    </w:p>
    <w:p>
      <w:pPr>
        <w:spacing w:after="20" w:before="80"/>
      </w:pPr>
      <w:r>
        <w:rPr>
          <w:b/>
          <w:i w:val="0"/>
          <w:color w:val="C00000"/>
          <w:sz w:val="19"/>
        </w:rPr>
        <w:t>QANTAS CASE STUDY (paragraph 2)</w:t>
      </w:r>
    </w:p>
    <w:p>
      <w:pPr>
        <w:pStyle w:val="ListBullet"/>
        <w:spacing w:after="40"/>
      </w:pPr>
      <w:r>
        <w:rPr>
          <w:b w:val="0"/>
          <w:i w:val="0"/>
        </w:rPr>
        <w:t>The scale of the problem: at one point in the pandemic Qantas was losing $40m per week in cash; by FY23-24 net cash flow had recovered to $3.62b.</w:t>
      </w:r>
    </w:p>
    <w:p>
      <w:pPr>
        <w:pStyle w:val="ListBullet"/>
        <w:spacing w:after="40"/>
      </w:pPr>
      <w:r>
        <w:rPr>
          <w:b w:val="0"/>
          <w:i w:val="0"/>
        </w:rPr>
        <w:t>Distribution of payments: Qantas distributes its payments evenly throughout the year.</w:t>
      </w:r>
    </w:p>
    <w:p>
      <w:pPr>
        <w:pStyle w:val="ListBullet"/>
        <w:spacing w:after="40"/>
      </w:pPr>
      <w:r>
        <w:rPr>
          <w:b w:val="0"/>
          <w:i w:val="0"/>
        </w:rPr>
        <w:t>Discounts for early payment: Qantas offers a discount for early payments to its debtors (your notes give no reliable percentage — don’t quote one).</w:t>
      </w:r>
    </w:p>
    <w:p>
      <w:pPr>
        <w:pStyle w:val="ListBullet"/>
        <w:spacing w:after="40"/>
      </w:pPr>
      <w:r>
        <w:rPr>
          <w:b w:val="0"/>
          <w:i w:val="0"/>
        </w:rPr>
        <w:t>Factoring: the notes record Qantas factoring with United Capital Funding Group in FY23-24.</w:t>
      </w:r>
    </w:p>
    <w:p>
      <w:pPr>
        <w:spacing w:after="40" w:before="200"/>
      </w:pPr>
      <w:r>
        <w:rPr>
          <w:b/>
          <w:i w:val="0"/>
          <w:color w:val="2E7D32"/>
          <w:sz w:val="26"/>
        </w:rPr>
        <w:t>2. Working capital management (control of current assets · control of current liabilities · leasing · sale and lease-back)</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managing the company’s short-term assets and liabilities to ensure it has enough cash flow to meet immediate operational needs and obligations — working capital = CA − CL, kept at an ideal level. Poor management brings cash flow problems, higher costs (emergency loans at high interest) and reduced profitability.</w:t>
      </w:r>
    </w:p>
    <w:p>
      <w:pPr>
        <w:pStyle w:val="ListBullet"/>
        <w:spacing w:after="40"/>
      </w:pPr>
      <w:r>
        <w:rPr>
          <w:b w:val="0"/>
          <w:i w:val="0"/>
        </w:rPr>
        <w:t>Control of current assets — cash: cover operating costs and growth opportunities using cash flow budgets to forecast, plus overdrafts. Receivables: timely debt collection through customer credit checks, clear payment terms, follow-ups on overdue accounts, credit policies, factoring, and interest or penalties for late payment. Inventories: minimise holding costs while meeting demand — Just-in-Time keeps stock low, supplied as needed.</w:t>
      </w:r>
    </w:p>
    <w:p>
      <w:pPr>
        <w:pStyle w:val="ListBullet"/>
        <w:spacing w:after="40"/>
      </w:pPr>
      <w:r>
        <w:rPr>
          <w:b w:val="0"/>
          <w:i w:val="0"/>
        </w:rPr>
        <w:t>Control of current liabilities — payables: negotiate favourable credit terms, time payments to maximise liquidity (capture early-payment discounts), avoid penalties. Loans (short-term borrowings): pay dues promptly, renegotiate terms, explore cheaper alternatives. Overdrafts: carefully manage the interest rates and bank fees.</w:t>
      </w:r>
    </w:p>
    <w:p>
      <w:pPr>
        <w:pStyle w:val="ListBullet"/>
        <w:spacing w:after="40"/>
      </w:pPr>
      <w:r>
        <w:rPr>
          <w:b w:val="0"/>
          <w:i w:val="0"/>
        </w:rPr>
        <w:t>Leasing: hire and use an asset without buying it — essential equipment and property without hefty upfront investment, preserving working capital for operational costs instead of tying funds up in NCA.</w:t>
      </w:r>
    </w:p>
    <w:p>
      <w:pPr>
        <w:pStyle w:val="ListBullet"/>
        <w:spacing w:after="40"/>
      </w:pPr>
      <w:r>
        <w:rPr>
          <w:b w:val="0"/>
          <w:i w:val="0"/>
        </w:rPr>
        <w:t>Sale and lease-back: sell an owned asset to a lessor and lease it back — an immediate cash inflow while retaining the asset’s use; ideal for asset-rich businesses facing short-term cash-flow problems.</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Moves the LIQUIDITY objective — CA and CL are the numerator and denominator of the current ratio (MONITORING).</w:t>
      </w:r>
    </w:p>
    <w:p>
      <w:pPr>
        <w:pStyle w:val="ListBullet"/>
        <w:spacing w:after="40"/>
      </w:pPr>
      <w:r>
        <w:rPr>
          <w:b/>
          <w:i w:val="0"/>
          <w:color w:val="B05400"/>
        </w:rPr>
        <w:t xml:space="preserve">LINK → </w:t>
      </w:r>
      <w:r>
        <w:rPr>
          <w:b w:val="0"/>
          <w:i w:val="0"/>
        </w:rPr>
        <w:t>Leasing and lease-backs also protect SOLVENCY: assets are accessed or monetised without new debt on the balance sheet.</w:t>
      </w:r>
    </w:p>
    <w:p>
      <w:pPr>
        <w:spacing w:after="20" w:before="80"/>
      </w:pPr>
      <w:r>
        <w:rPr>
          <w:b/>
          <w:i w:val="0"/>
          <w:color w:val="C00000"/>
          <w:sz w:val="19"/>
        </w:rPr>
        <w:t>QANTAS CASE STUDY (paragraph 2)</w:t>
      </w:r>
    </w:p>
    <w:p>
      <w:pPr>
        <w:pStyle w:val="ListBullet"/>
        <w:spacing w:after="40"/>
      </w:pPr>
      <w:r>
        <w:rPr>
          <w:b w:val="0"/>
          <w:i w:val="0"/>
        </w:rPr>
        <w:t>Control of CA (FY22-23): cash $3.3b → $3.2b; receivables $1.1b → $1.0b; inventories $226m → $290m; total CA $5.6b → $5.1b.</w:t>
      </w:r>
    </w:p>
    <w:p>
      <w:pPr>
        <w:pStyle w:val="ListBullet"/>
        <w:spacing w:after="40"/>
      </w:pPr>
      <w:r>
        <w:rPr>
          <w:b w:val="0"/>
          <w:i w:val="0"/>
        </w:rPr>
        <w:t>Control of CL (FY22-23): payables $2.5b → $2.7b; total CL $10.5b → $12b — hence the reliance on the $1.2b overdraft and $300m standby facility.</w:t>
      </w:r>
    </w:p>
    <w:p>
      <w:pPr>
        <w:pStyle w:val="ListBullet"/>
        <w:spacing w:after="40"/>
      </w:pPr>
      <w:r>
        <w:rPr>
          <w:b w:val="0"/>
          <w:i w:val="0"/>
        </w:rPr>
        <w:t>Leasing: 46% of the aircraft fleet is leased; lease liabilities of $1.6b against lease assets of $1.8b (2023); net lease payments of $360m in 2024; leases aircraft, buildings, plant and equipment.</w:t>
      </w:r>
    </w:p>
    <w:p>
      <w:pPr>
        <w:pStyle w:val="ListBullet"/>
        <w:spacing w:after="40"/>
      </w:pPr>
      <w:r>
        <w:rPr>
          <w:b w:val="0"/>
          <w:i w:val="0"/>
        </w:rPr>
        <w:t>Sale and lease-back: sold six Boeing 787-9s and leased them back in FY20-21, freeing $550m in cash; sold Melbourne Airport Terminal 1 for $255m (2019) and Sydney Terminal 3 for $185m (2016); received $789m from the 2022 sale and leaseback of surplus Mascot land.</w:t>
      </w:r>
    </w:p>
    <w:p>
      <w:pPr>
        <w:spacing w:after="40" w:before="200"/>
      </w:pPr>
      <w:r>
        <w:rPr>
          <w:b/>
          <w:i w:val="0"/>
          <w:color w:val="2E7D32"/>
          <w:sz w:val="26"/>
        </w:rPr>
        <w:t>3. Profitability management (cost controls · revenue controls)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monitoring the business’s profitability and implementing strategies to boost profits — working both jaws of NP = revenue − expenses.</w:t>
      </w:r>
    </w:p>
    <w:p>
      <w:pPr>
        <w:pStyle w:val="ListBullet"/>
        <w:spacing w:after="40"/>
      </w:pPr>
      <w:r>
        <w:rPr>
          <w:b w:val="0"/>
          <w:i w:val="0"/>
        </w:rPr>
        <w:t>Cost controls — fixed and variable costs: fixed costs don’t change with output (rent, salaries, depreciation, insurance); variable costs do (raw materials, direct labour). Categorising costs pinpoints which are damaging the business. Manage fixed: lease assets, renegotiate deals, outsource non-essential functions, refinance debt. Manage variable: JIT inventory, a flexible workforce mix, cost-efficient suppliers.</w:t>
      </w:r>
    </w:p>
    <w:p>
      <w:pPr>
        <w:pStyle w:val="ListBullet"/>
        <w:spacing w:after="40"/>
      </w:pPr>
      <w:r>
        <w:rPr>
          <w:b w:val="0"/>
          <w:i w:val="0"/>
        </w:rPr>
        <w:t>Cost controls — cost centres: departments or sections to which costs can be directly attributed — tracking expenses per department, making staff accountable and pinpointing over/underspending so scarce resources are allocated wisely.</w:t>
      </w:r>
    </w:p>
    <w:p>
      <w:pPr>
        <w:pStyle w:val="ListBullet"/>
        <w:spacing w:after="40"/>
      </w:pPr>
      <w:r>
        <w:rPr>
          <w:b w:val="0"/>
          <w:i w:val="0"/>
        </w:rPr>
        <w:t>Cost controls — expense minimisation: reducing costs as far as possible without hurting quality or efficiency — streamline/automate operations, optimise the supply chain (renegotiate, local sourcing, bulk buying), outsource non-core functions, reduce office space, energy efficiency.</w:t>
      </w:r>
    </w:p>
    <w:p>
      <w:pPr>
        <w:pStyle w:val="ListBullet"/>
        <w:spacing w:after="40"/>
      </w:pPr>
      <w:r>
        <w:rPr>
          <w:b w:val="0"/>
          <w:i w:val="0"/>
        </w:rPr>
        <w:t>Revenue controls (marketing objectives): sales objectives — targeted goals aligning marketing with revenue; sales mix — each product’s ratio of total sales, exposing underperformers for resource reallocation or discontinuation; pricing policy — setting prices on costs, value, demand and competition, weighing volume against margin.</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Moves the PROFITABILITY objective on both sides of the equation — and success or failure shows up immediately in the NPR and expense ratio (MONITORING).</w:t>
      </w:r>
    </w:p>
    <w:p>
      <w:pPr>
        <w:spacing w:after="20" w:before="80"/>
      </w:pPr>
      <w:r>
        <w:rPr>
          <w:b/>
          <w:i w:val="0"/>
          <w:color w:val="C00000"/>
          <w:sz w:val="19"/>
        </w:rPr>
        <w:t>QANTAS CASE STUDY (paragraph 2)</w:t>
      </w:r>
    </w:p>
    <w:p>
      <w:pPr>
        <w:pStyle w:val="ListBullet"/>
        <w:spacing w:after="40"/>
      </w:pPr>
      <w:r>
        <w:rPr>
          <w:b w:val="0"/>
          <w:i w:val="0"/>
        </w:rPr>
        <w:t>Cost controls: costs cut by over $5b in six years, reducing the cost base ~20%; fixed = debt-servicing, variable = fuel (with staff 26%, aircraft operating 23% and fuel 22% of costs); cost centres = international, domestic, freight, Jetstar; 787-9s burn 20% less fuel per seat than the 747-400s they replaced; workforce cut ~30% (9,400 roles from 30,179 in 2019).</w:t>
      </w:r>
    </w:p>
    <w:p>
      <w:pPr>
        <w:pStyle w:val="ListBullet"/>
        <w:spacing w:after="40"/>
      </w:pPr>
      <w:r>
        <w:rPr>
          <w:b w:val="0"/>
          <w:i w:val="0"/>
        </w:rPr>
        <w:t>Expense minimisation via outsourcing: cleaners, cabin crew in Asia, pilots in NZ, engine maintenance in Malaysia.</w:t>
      </w:r>
    </w:p>
    <w:p>
      <w:pPr>
        <w:pStyle w:val="ListBullet"/>
        <w:spacing w:after="40"/>
      </w:pPr>
      <w:r>
        <w:rPr>
          <w:b w:val="0"/>
          <w:i w:val="0"/>
        </w:rPr>
        <w:t>Proof it worked: a $1.9b loss (2022) became a $2.47b profit (2023).</w:t>
      </w:r>
    </w:p>
    <w:p>
      <w:pPr>
        <w:pStyle w:val="ListBullet"/>
        <w:spacing w:after="40"/>
      </w:pPr>
      <w:r>
        <w:rPr>
          <w:b w:val="0"/>
          <w:i w:val="0"/>
        </w:rPr>
        <w:t>Revenue controls: airfares increased into strong post-Covid demand (2022 ticket prices +25% vs pre-pandemic); H1 FY23-24 net passenger revenue +15% to $9.6b; FY24 revenue $21.94b (+10.7%); unprofitable flights cut (Sydney–Beijing suspended on low demand); Emirates partnership and clear sales objectives; sales-mix play: 47% of Jetstar customers paid under $100 for domestic fares in 2022.</w:t>
      </w:r>
    </w:p>
    <w:p>
      <w:pPr>
        <w:spacing w:after="40" w:before="200"/>
      </w:pPr>
      <w:r>
        <w:rPr>
          <w:b/>
          <w:i w:val="0"/>
          <w:color w:val="2E7D32"/>
          <w:sz w:val="26"/>
        </w:rPr>
        <w:t>4. Global financial management (exchange rates · interest rates · methods of international payment · hedging · derivatives)</w:t>
      </w:r>
    </w:p>
    <w:p>
      <w:pPr>
        <w:spacing w:after="20" w:before="80"/>
      </w:pPr>
      <w:r>
        <w:rPr>
          <w:b/>
          <w:i w:val="0"/>
          <w:color w:val="1A5F9E"/>
          <w:sz w:val="19"/>
        </w:rPr>
        <w:t>THEORY (paragraph 1)</w:t>
      </w:r>
    </w:p>
    <w:p>
      <w:pPr>
        <w:spacing w:after="60" w:before="40"/>
      </w:pPr>
      <w:r>
        <w:rPr>
          <w:b/>
          <w:i w:val="0"/>
          <w:color w:val="1F3A5F"/>
        </w:rPr>
        <w:t xml:space="preserve">Definition: </w:t>
      </w:r>
      <w:r>
        <w:rPr>
          <w:b w:val="0"/>
          <w:i w:val="0"/>
        </w:rPr>
        <w:t>the strategic planning, organising, directing and controlling of financial activities and resources at an international level — strategies to mitigate global financial risks.</w:t>
      </w:r>
    </w:p>
    <w:p>
      <w:pPr>
        <w:pStyle w:val="ListBullet"/>
        <w:spacing w:after="40"/>
      </w:pPr>
      <w:r>
        <w:rPr>
          <w:b w:val="0"/>
          <w:i w:val="0"/>
        </w:rPr>
        <w:t>Exchange rates: the value of one country’s currency against another — fluctuations (appreciation/depreciation) add a layer of risk and cost to every international transaction; managers reduce the risk by hedging with derivatives.</w:t>
      </w:r>
    </w:p>
    <w:p>
      <w:pPr>
        <w:pStyle w:val="ListBullet"/>
        <w:spacing w:after="40"/>
      </w:pPr>
      <w:r>
        <w:rPr>
          <w:b w:val="0"/>
          <w:i w:val="0"/>
        </w:rPr>
        <w:t>Interest rates: the fee charged for borrowing, as a percentage of the loan — lower = cheaper, higher = dearer; rate differentials tempt offshore borrowing, but that adds currency risk.</w:t>
      </w:r>
    </w:p>
    <w:p>
      <w:pPr>
        <w:pStyle w:val="ListBullet"/>
        <w:spacing w:after="40"/>
      </w:pPr>
      <w:r>
        <w:rPr>
          <w:b w:val="0"/>
          <w:i w:val="0"/>
        </w:rPr>
        <w:t>Methods of international payment: payment in advance — no shipment until paid (risk-free for the exporter, all risk on the importer); clean payment — goods shipped before payment (all risk on the exporter); letter of credit — a bank-issued guarantee of payment on presentation of documents (balanced risk, bank charges a fee); bill of exchange — a written, legally enforceable promise to pay a set amount at a set time and place. An LC is a GUARANTEE of payment; a BOE is a PROMISE of payment with legal recourse.</w:t>
      </w:r>
    </w:p>
    <w:p>
      <w:pPr>
        <w:pStyle w:val="ListBullet"/>
        <w:spacing w:after="40"/>
      </w:pPr>
      <w:r>
        <w:rPr>
          <w:b w:val="0"/>
          <w:i w:val="0"/>
        </w:rPr>
        <w:t>Hedging: making an investment (using financial instruments) to reduce the risk of adverse price movements — locking in exchange rates or commodity prices at today’s spot rate.</w:t>
      </w:r>
    </w:p>
    <w:p>
      <w:pPr>
        <w:pStyle w:val="ListBullet"/>
        <w:spacing w:after="40"/>
      </w:pPr>
      <w:r>
        <w:rPr>
          <w:b w:val="0"/>
          <w:i w:val="0"/>
        </w:rPr>
        <w:t>Derivatives: financial contracts whose value is based on the future price of something else (commodity, share, currency) — used to buy CERTAINTY. Forwards: customised contracts locking a future price today. Futures: standardised and exchange-traded — more liquid but less tailored. Options: the right without the obligation to buy/sell at a set price — protects the downside while keeping the upside; well suited to a business heavily reliant on a commodity (Qantas and fuel).</w:t>
      </w:r>
    </w:p>
    <w:p>
      <w:pPr>
        <w:spacing w:after="20" w:before="80"/>
      </w:pPr>
      <w:r>
        <w:rPr>
          <w:b/>
          <w:i w:val="0"/>
          <w:color w:val="B05400"/>
          <w:sz w:val="19"/>
        </w:rPr>
        <w:t>THE LINK TO THE FINANCIAL OBJECTIVES &amp; PROCESSES</w:t>
      </w:r>
    </w:p>
    <w:p>
      <w:pPr>
        <w:pStyle w:val="ListBullet"/>
        <w:spacing w:after="40"/>
      </w:pPr>
      <w:r>
        <w:rPr>
          <w:b/>
          <w:i w:val="0"/>
          <w:color w:val="B05400"/>
        </w:rPr>
        <w:t xml:space="preserve">LINK → </w:t>
      </w:r>
      <w:r>
        <w:rPr>
          <w:b w:val="0"/>
          <w:i w:val="0"/>
        </w:rPr>
        <w:t>Protects PROFITABILITY from fuel and currency swings, and SOLVENCY from rate-driven debt-servicing blowouts.</w:t>
      </w:r>
    </w:p>
    <w:p>
      <w:pPr>
        <w:pStyle w:val="ListBullet"/>
        <w:spacing w:after="40"/>
      </w:pPr>
      <w:r>
        <w:rPr>
          <w:b/>
          <w:i w:val="0"/>
          <w:color w:val="B05400"/>
        </w:rPr>
        <w:t xml:space="preserve">LINK → </w:t>
      </w:r>
      <w:r>
        <w:rPr>
          <w:b w:val="0"/>
          <w:i w:val="0"/>
        </w:rPr>
        <w:t>It is PLANNING (financial/market risk) executed continuously — the risks were identified in the planning process; these instruments implement the response.</w:t>
      </w:r>
    </w:p>
    <w:p>
      <w:pPr>
        <w:spacing w:after="20" w:before="80"/>
      </w:pPr>
      <w:r>
        <w:rPr>
          <w:b/>
          <w:i w:val="0"/>
          <w:color w:val="C00000"/>
          <w:sz w:val="19"/>
        </w:rPr>
        <w:t>QANTAS CASE STUDY (paragraph 2)</w:t>
      </w:r>
    </w:p>
    <w:p>
      <w:pPr>
        <w:pStyle w:val="ListBullet"/>
        <w:spacing w:after="40"/>
      </w:pPr>
      <w:r>
        <w:rPr>
          <w:b w:val="0"/>
          <w:i w:val="0"/>
        </w:rPr>
        <w:t>Exchange rates: ~38% of revenue is earned in foreign currencies (14% in USD), while 65% of fuel for domestic operations is sourced overseas — the AUD around US$0.68 flows straight into input costs.</w:t>
      </w:r>
    </w:p>
    <w:p>
      <w:pPr>
        <w:pStyle w:val="ListBullet"/>
        <w:spacing w:after="40"/>
      </w:pPr>
      <w:r>
        <w:rPr>
          <w:b w:val="0"/>
          <w:i w:val="0"/>
        </w:rPr>
        <w:t>Interest rates: the post-Covid tightening cycle added $250m to debt-servicing costs; earlier low rates helped reduce net debt to $2.9b in 2023.</w:t>
      </w:r>
    </w:p>
    <w:p>
      <w:pPr>
        <w:pStyle w:val="ListBullet"/>
        <w:spacing w:after="40"/>
      </w:pPr>
      <w:r>
        <w:rPr>
          <w:b w:val="0"/>
          <w:i w:val="0"/>
        </w:rPr>
        <w:t>Methods of international payment: a bill of exchange with Saudi Aramco (fuel); clean payment with Gate Gourmet (meal provider); foreign-exchange contracts.</w:t>
      </w:r>
    </w:p>
    <w:p>
      <w:pPr>
        <w:pStyle w:val="ListBullet"/>
        <w:spacing w:after="40"/>
      </w:pPr>
      <w:r>
        <w:rPr>
          <w:b w:val="0"/>
          <w:i w:val="0"/>
        </w:rPr>
        <w:t>Hedging &amp; derivatives: uses forwards to cover fuel purchases; hedged 90% of fuel during Covid and 100% in 2022, but only ~50% in FY24 — exposing it as fuel rose 30%+ from May 2023, with the fuel bill expected to rise over $200m in H1 2024 even after hedging; $232m in hedging gains in 2023; May–Sep 2020 fuel impact $145m.</w:t>
      </w:r>
    </w:p>
    <w:p>
      <w:pPr>
        <w:spacing w:after="80" w:before="280"/>
      </w:pPr>
      <w:r>
        <w:rPr>
          <w:b/>
          <w:i w:val="0"/>
          <w:color w:val="1F3A5F"/>
        </w:rPr>
        <w:t xml:space="preserve">How to use this in the exam: </w:t>
      </w:r>
      <w:r>
        <w:rPr>
          <w:b w:val="0"/>
          <w:i w:val="0"/>
          <w:color w:val="555555"/>
          <w:sz w:val="19"/>
        </w:rPr>
        <w:t>pick the influences/processes/strategies the question names. Paragraph 1 = definition + the LINK line (say exactly which financial objective — profitability, growth, efficiency, liquidity, solvency — moves, or which process the item executes). Paragraph 2 = the matching Qantas evidence with specific figures. Close each body paragraph by returning to the objective with a ratio or dollar figure (NPR, current ratio, gearing, expense ratio) — that is what turns description into analysis.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