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283" w:hRule="exact"/>
        </w:trPr>
        <w:tc>
          <w:tcPr>
            <w:tcW w:type="dxa" w:w="1586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1586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1586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1586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1586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1586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p>
      <w:pPr>
        <w:spacing w:after="800"/>
      </w:pPr>
    </w:p>
    <w:p>
      <w:pPr>
        <w:jc w:val="center"/>
      </w:pPr>
      <w:r>
        <w:rPr>
          <w:rFonts w:ascii="微软雅黑" w:hAnsi="微软雅黑" w:eastAsia="微软雅黑"/>
          <w:b/>
          <w:color w:val="2D7FF9"/>
          <w:sz w:val="26"/>
        </w:rPr>
        <w:t>PHASE 01 · 调研分析</w:t>
      </w:r>
    </w:p>
    <w:p>
      <w:pPr>
        <w:spacing w:after="200"/>
      </w:pPr>
    </w:p>
    <w:p>
      <w:pPr>
        <w:jc w:val="center"/>
      </w:pPr>
      <w:r>
        <w:rPr>
          <w:rFonts w:ascii="微软雅黑" w:hAnsi="微软雅黑" w:eastAsia="微软雅黑"/>
          <w:b/>
          <w:color w:val="1F2233"/>
          <w:sz w:val="68"/>
        </w:rPr>
        <w:t>市场调研报告</w:t>
      </w:r>
    </w:p>
    <w:p>
      <w:pPr>
        <w:spacing w:after="120"/>
      </w:pPr>
    </w:p>
    <w:p>
      <w:pPr>
        <w:jc w:val="center"/>
      </w:pPr>
      <w:r>
        <w:rPr>
          <w:rFonts w:ascii="微软雅黑" w:hAnsi="微软雅黑" w:eastAsia="微软雅黑"/>
          <w:color w:val="5A5F73"/>
          <w:sz w:val="30"/>
        </w:rPr>
        <w:t>MARKET RESEARCH</w:t>
      </w:r>
    </w:p>
    <w:p>
      <w:pPr>
        <w:spacing w:after="5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518"/>
      </w:tblGrid>
      <w:tr>
        <w:tc>
          <w:tcPr>
            <w:tcW w:type="dxa" w:w="9518"/>
            <w:shd w:val="clear" w:color="auto" w:fill="F5F6FB"/>
            <w:tcMar>
              <w:top w:w="120" w:type="dxa"/>
              <w:bottom w:w="120" w:type="dxa"/>
              <w:start w:w="200" w:type="dxa"/>
              <w:end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2D7FF9"/>
                <w:sz w:val="28"/>
              </w:rPr>
              <w:t>“一眼，看穿 AI 复杂”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rFonts w:ascii="微软雅黑" w:hAnsi="微软雅黑" w:eastAsia="微软雅黑"/>
          <w:color w:val="5A5F73"/>
          <w:sz w:val="24"/>
        </w:rPr>
        <w:t>AI 信息与服务市场 · 体量·趋势·空白</w:t>
      </w:r>
    </w:p>
    <w:p>
      <w:pPr>
        <w:spacing w:after="1000"/>
      </w:pPr>
    </w:p>
    <w:p>
      <w:pPr>
        <w:jc w:val="center"/>
      </w:pPr>
      <w:r>
        <w:rPr>
          <w:rFonts w:ascii="微软雅黑" w:hAnsi="微软雅黑" w:eastAsia="微软雅黑"/>
          <w:color w:val="5A5F73"/>
          <w:sz w:val="21"/>
        </w:rPr>
        <w:t>彩虹之眼 · RAINBOW EYE</w:t>
        <w:br/>
        <w:t>品牌全案交付物 · 2026</w:t>
      </w:r>
    </w:p>
    <w:p>
      <w:r>
        <w:br w:type="page"/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2D7FF9"/>
          <w:sz w:val="32"/>
        </w:rPr>
        <w:t>▍</w:t>
      </w:r>
      <w:r>
        <w:rPr>
          <w:rFonts w:ascii="微软雅黑" w:hAnsi="微软雅黑" w:eastAsia="微软雅黑"/>
          <w:b/>
          <w:color w:val="1F2233"/>
          <w:sz w:val="36"/>
        </w:rPr>
        <w:t>第一章 研究背景与目的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68" w:hRule="exact"/>
        </w:trPr>
        <w:tc>
          <w:tcPr>
            <w:tcW w:type="dxa" w:w="794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color w:val="1F2233"/>
          <w:sz w:val="21"/>
        </w:rPr>
        <w:t>AI 正以史无前例的速度渗透内容、工具与产业。2022 年以来，大语言模型、多模态生成、智能体（Agent）与 AI 原生应用集中爆发，全球每天产生的 AI 相关信息以百万条计。然而对绝大多数个人与企业而言，信息不是太少而是太多——碎片化、同质化、难以判断真伪与价值，成为普遍焦虑。</w:t>
      </w:r>
    </w:p>
    <w:p>
      <w:pPr>
        <w:spacing w:after="80"/>
      </w:pPr>
      <w:r>
        <w:rPr>
          <w:rFonts w:ascii="微软雅黑" w:hAnsi="微软雅黑" w:eastAsia="微软雅黑"/>
          <w:color w:val="1F2233"/>
          <w:sz w:val="21"/>
        </w:rPr>
        <w:t>本报告以「彩虹之眼」品牌战略为出发点，通过案头研究、行业数据梳理与竞品拆解，回答三个问题：AI 信息与服务市场有多大、增长来自哪里；用户的真实痛点是什么；市场中尚存哪些结构性空白，足以支撑一个以「筛选—解释—组织」为核心能力的品牌立足。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518"/>
      </w:tblGrid>
      <w:tr>
        <w:tc>
          <w:tcPr>
            <w:tcW w:type="dxa" w:w="9518"/>
            <w:shd w:val="clear" w:color="auto" w:fill="F5F6FB"/>
            <w:tcMar>
              <w:top w:w="140" w:type="dxa"/>
              <w:bottom w:w="140" w:type="dxa"/>
              <w:start w:w="180" w:type="dxa"/>
              <w:end w:w="180" w:type="dxa"/>
              <w:left w:w="180" w:type="dxa"/>
              <w:right w:w="180" w:type="dxa"/>
            </w:tcMar>
          </w:tcPr>
          <w:p>
            <w:r>
              <w:rPr>
                <w:rFonts w:ascii="微软雅黑" w:hAnsi="微软雅黑" w:eastAsia="微软雅黑"/>
                <w:b/>
                <w:color w:val="2D7FF9"/>
                <w:sz w:val="21"/>
              </w:rPr>
              <w:t xml:space="preserve">研究命题  </w:t>
            </w:r>
            <w:r>
              <w:rPr>
                <w:rFonts w:ascii="微软雅黑" w:hAnsi="微软雅黑" w:eastAsia="微软雅黑"/>
                <w:color w:val="1F2233"/>
                <w:sz w:val="21"/>
              </w:rPr>
              <w:t>研究核心命题：当 AI 信息从稀缺走向过载，用户真正稀缺的不再是信息，而是「判断」与「转化」。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rFonts w:ascii="微软雅黑" w:hAnsi="微软雅黑" w:eastAsia="微软雅黑"/>
          <w:b/>
          <w:color w:val="2D7FF9"/>
          <w:sz w:val="32"/>
        </w:rPr>
        <w:t>▍</w:t>
      </w:r>
      <w:r>
        <w:rPr>
          <w:rFonts w:ascii="微软雅黑" w:hAnsi="微软雅黑" w:eastAsia="微软雅黑"/>
          <w:b/>
          <w:color w:val="1F2233"/>
          <w:sz w:val="36"/>
        </w:rPr>
        <w:t>第二章 研究方法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68" w:hRule="exact"/>
        </w:trPr>
        <w:tc>
          <w:tcPr>
            <w:tcW w:type="dxa" w:w="794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p>
      <w:pPr>
        <w:spacing w:before="120" w:after="40"/>
      </w:pPr>
      <w:r>
        <w:rPr>
          <w:rFonts w:ascii="微软雅黑" w:hAnsi="微软雅黑" w:eastAsia="微软雅黑"/>
          <w:b/>
          <w:color w:val="1F2233"/>
          <w:sz w:val="23"/>
        </w:rPr>
        <w:t>研究设计与样本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2D7FF9"/>
          <w:sz w:val="21"/>
        </w:rPr>
        <w:t>案头研究：</w:t>
      </w:r>
      <w:r>
        <w:rPr>
          <w:rFonts w:ascii="微软雅黑" w:hAnsi="微软雅黑" w:eastAsia="微软雅黑"/>
          <w:color w:val="1F2233"/>
          <w:sz w:val="21"/>
        </w:rPr>
        <w:t>系统梳理 2023–2026 年 AI 行业报告、政策文件与公开数据，建立市场体量估算框架。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2D7FF9"/>
          <w:sz w:val="21"/>
        </w:rPr>
        <w:t>竞品拆解：</w:t>
      </w:r>
      <w:r>
        <w:rPr>
          <w:rFonts w:ascii="微软雅黑" w:hAnsi="微软雅黑" w:eastAsia="微软雅黑"/>
          <w:color w:val="1F2233"/>
          <w:sz w:val="21"/>
        </w:rPr>
        <w:t>对 12 家代表性 AI 内容/工具/产业平台进行内容结构、受众与商业化模式拆解。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2D7FF9"/>
          <w:sz w:val="21"/>
        </w:rPr>
        <w:t>用户访谈：</w:t>
      </w:r>
      <w:r>
        <w:rPr>
          <w:rFonts w:ascii="微软雅黑" w:hAnsi="微软雅黑" w:eastAsia="微软雅黑"/>
          <w:color w:val="1F2233"/>
          <w:sz w:val="21"/>
        </w:rPr>
        <w:t>面向三类目标人群（个人、中小企业、产业从业者）开展 30+ 深度访谈与问卷调研。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2D7FF9"/>
          <w:sz w:val="21"/>
        </w:rPr>
        <w:t>内容审计：</w:t>
      </w:r>
      <w:r>
        <w:rPr>
          <w:rFonts w:ascii="微软雅黑" w:hAnsi="微软雅黑" w:eastAsia="微软雅黑"/>
          <w:color w:val="1F2233"/>
          <w:sz w:val="21"/>
        </w:rPr>
        <w:t>对主流平台的 AI 栏目进行抽样，评估内容深度、同质化程度与落地导向。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2D7FF9"/>
          <w:sz w:val="32"/>
        </w:rPr>
        <w:t>▍</w:t>
      </w:r>
      <w:r>
        <w:rPr>
          <w:rFonts w:ascii="微软雅黑" w:hAnsi="微软雅黑" w:eastAsia="微软雅黑"/>
          <w:b/>
          <w:color w:val="1F2233"/>
          <w:sz w:val="36"/>
        </w:rPr>
        <w:t>第三章 宏观环境（PESTEL 要点）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68" w:hRule="exact"/>
        </w:trPr>
        <w:tc>
          <w:tcPr>
            <w:tcW w:type="dxa" w:w="794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tcMar>
              <w:top w:w="140" w:type="dxa"/>
              <w:bottom w:w="140" w:type="dxa"/>
              <w:start w:w="140" w:type="dxa"/>
              <w:end w:w="14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60" w:before="0"/>
              <w:shd w:val="clear" w:color="auto" w:fill="22C55E"/>
            </w:pPr>
            <w:r>
              <w:rPr>
                <w:sz w:val="12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22C55E"/>
                <w:sz w:val="23"/>
              </w:rPr>
              <w:t>政策 Policy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国家「人工智能+」行动持续推进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数据要素与算法治理框架落地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中小企业数字化转型扶持加码</w:t>
            </w:r>
          </w:p>
        </w:tc>
        <w:tc>
          <w:tcPr>
            <w:tcW w:type="dxa" w:w="2379"/>
            <w:tcMar>
              <w:top w:w="140" w:type="dxa"/>
              <w:bottom w:w="140" w:type="dxa"/>
              <w:start w:w="140" w:type="dxa"/>
              <w:end w:w="14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60" w:before="0"/>
              <w:shd w:val="clear" w:color="auto" w:fill="F5A623"/>
            </w:pPr>
            <w:r>
              <w:rPr>
                <w:sz w:val="12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F5A623"/>
                <w:sz w:val="23"/>
              </w:rPr>
              <w:t>经济 Economy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企业降本增效需求强烈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AI 内容/工具订阅市场快速成型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AI 培训与咨询预算抬头</w:t>
            </w:r>
          </w:p>
        </w:tc>
        <w:tc>
          <w:tcPr>
            <w:tcW w:type="dxa" w:w="2379"/>
            <w:tcMar>
              <w:top w:w="140" w:type="dxa"/>
              <w:bottom w:w="140" w:type="dxa"/>
              <w:start w:w="140" w:type="dxa"/>
              <w:end w:w="14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60" w:before="0"/>
              <w:shd w:val="clear" w:color="auto" w:fill="FF6B6B"/>
            </w:pPr>
            <w:r>
              <w:rPr>
                <w:sz w:val="12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FF6B6B"/>
                <w:sz w:val="23"/>
              </w:rPr>
              <w:t>社会 Society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全民 AI 焦虑与认知断层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信息过载导致决策疲劳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「会用 AI」成新职场刚需</w:t>
            </w:r>
          </w:p>
        </w:tc>
        <w:tc>
          <w:tcPr>
            <w:tcW w:type="dxa" w:w="2379"/>
            <w:tcMar>
              <w:top w:w="140" w:type="dxa"/>
              <w:bottom w:w="140" w:type="dxa"/>
              <w:start w:w="140" w:type="dxa"/>
              <w:end w:w="14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60" w:before="0"/>
              <w:shd w:val="clear" w:color="auto" w:fill="2D7FF9"/>
            </w:pPr>
            <w:r>
              <w:rPr>
                <w:sz w:val="12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2D7FF9"/>
                <w:sz w:val="23"/>
              </w:rPr>
              <w:t>技术 Tech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大模型能力跃迁、成本下降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多模态与 Agent 走向实用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AI 原生应用爆发前夜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微软雅黑" w:hAnsi="微软雅黑" w:eastAsia="微软雅黑"/>
          <w:color w:val="5A5F73"/>
          <w:sz w:val="21"/>
        </w:rPr>
        <w:t>综合研判：技术供给与政策红利已经到位，需求侧（认知、落地、转化）成为下一个十年的最大变量，这正是「解释型 AI 内容服务」的窗口期。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2D7FF9"/>
          <w:sz w:val="32"/>
        </w:rPr>
        <w:t>▍</w:t>
      </w:r>
      <w:r>
        <w:rPr>
          <w:rFonts w:ascii="微软雅黑" w:hAnsi="微软雅黑" w:eastAsia="微软雅黑"/>
          <w:b/>
          <w:color w:val="1F2233"/>
          <w:sz w:val="36"/>
        </w:rPr>
        <w:t>第四章 市场体量估算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68" w:hRule="exact"/>
        </w:trPr>
        <w:tc>
          <w:tcPr>
            <w:tcW w:type="dxa" w:w="794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22C55E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细分市场</w:t>
            </w:r>
          </w:p>
        </w:tc>
        <w:tc>
          <w:tcPr>
            <w:tcW w:type="dxa" w:w="2379"/>
            <w:shd w:val="clear" w:color="auto" w:fill="22C55E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规模量级(估算)</w:t>
            </w:r>
          </w:p>
        </w:tc>
        <w:tc>
          <w:tcPr>
            <w:tcW w:type="dxa" w:w="2379"/>
            <w:shd w:val="clear" w:color="auto" w:fill="22C55E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增速</w:t>
            </w:r>
          </w:p>
        </w:tc>
        <w:tc>
          <w:tcPr>
            <w:tcW w:type="dxa" w:w="2379"/>
            <w:shd w:val="clear" w:color="auto" w:fill="22C55E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关键驱动</w:t>
            </w:r>
          </w:p>
        </w:tc>
      </w:tr>
      <w:tr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AI 资讯与内容媒体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百亿级（内容+广告）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年增 30%+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流量、PR、品牌投放</w:t>
            </w:r>
          </w:p>
        </w:tc>
      </w:tr>
      <w:tr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AI 工具导航/评测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数十亿级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年增 40%+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工具爆发、选购决策</w:t>
            </w:r>
          </w:p>
        </w:tc>
      </w:tr>
      <w:tr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企业 AI 服务（咨询/培训/落地）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千亿级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年增 35%+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降本增效刚需</w:t>
            </w:r>
          </w:p>
        </w:tc>
      </w:tr>
      <w:tr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AI 学习与社群（课程/会员）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数百亿级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年增 45%+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职场焦虑、副业需求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color w:val="5A5F73"/>
          <w:sz w:val="18"/>
        </w:rPr>
        <w:t>注：以上为基于公开信息的量级估算，用于战略方向判断，非精确财务预测。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2D7FF9"/>
          <w:sz w:val="32"/>
        </w:rPr>
        <w:t>▍</w:t>
      </w:r>
      <w:r>
        <w:rPr>
          <w:rFonts w:ascii="微软雅黑" w:hAnsi="微软雅黑" w:eastAsia="微软雅黑"/>
          <w:b/>
          <w:color w:val="1F2233"/>
          <w:sz w:val="36"/>
        </w:rPr>
        <w:t>第五章 行业趋势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68" w:hRule="exact"/>
        </w:trPr>
        <w:tc>
          <w:tcPr>
            <w:tcW w:type="dxa" w:w="794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p>
      <w:pPr>
        <w:spacing w:before="120" w:after="40"/>
      </w:pPr>
      <w:r>
        <w:rPr>
          <w:rFonts w:ascii="微软雅黑" w:hAnsi="微软雅黑" w:eastAsia="微软雅黑"/>
          <w:b/>
          <w:color w:val="1F2233"/>
          <w:sz w:val="23"/>
        </w:rPr>
        <w:t>五大结构性趋势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color w:val="2D7FF9"/>
          <w:sz w:val="21"/>
        </w:rPr>
        <w:t>信源整合平台化：</w:t>
      </w:r>
      <w:r>
        <w:rPr>
          <w:rFonts w:ascii="微软雅黑" w:hAnsi="微软雅黑" w:eastAsia="微软雅黑"/>
          <w:color w:val="1F2233"/>
          <w:sz w:val="21"/>
        </w:rPr>
        <w:t>用户不再满足于单一资讯源，倾向于「一站式 AI 地图/情报库」以降低搜索成本。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color w:val="2D7FF9"/>
          <w:sz w:val="21"/>
        </w:rPr>
        <w:t>内容分层化：</w:t>
      </w:r>
      <w:r>
        <w:rPr>
          <w:rFonts w:ascii="微软雅黑" w:hAnsi="微软雅黑" w:eastAsia="微软雅黑"/>
          <w:color w:val="1F2233"/>
          <w:sz w:val="21"/>
        </w:rPr>
        <w:t>同一条 AI 信息，需要被翻译成个人、企业、产业三种语言，分层解释成主流。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color w:val="2D7FF9"/>
          <w:sz w:val="21"/>
        </w:rPr>
        <w:t>从看到用：</w:t>
      </w:r>
      <w:r>
        <w:rPr>
          <w:rFonts w:ascii="微软雅黑" w:hAnsi="微软雅黑" w:eastAsia="微软雅黑"/>
          <w:color w:val="1F2233"/>
          <w:sz w:val="21"/>
        </w:rPr>
        <w:t>内容价值终点从「知道」走向「用上」，工作流模板与案例成为刚需。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color w:val="2D7FF9"/>
          <w:sz w:val="21"/>
        </w:rPr>
        <w:t>多模态与 Agent：</w:t>
      </w:r>
      <w:r>
        <w:rPr>
          <w:rFonts w:ascii="微软雅黑" w:hAnsi="微软雅黑" w:eastAsia="微软雅黑"/>
          <w:color w:val="1F2233"/>
          <w:sz w:val="21"/>
        </w:rPr>
        <w:t>视频化内容、AI 搜索、智能体正在重构信息获取方式。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color w:val="2D7FF9"/>
          <w:sz w:val="21"/>
        </w:rPr>
        <w:t>信任稀缺化：</w:t>
      </w:r>
      <w:r>
        <w:rPr>
          <w:rFonts w:ascii="微软雅黑" w:hAnsi="微软雅黑" w:eastAsia="微软雅黑"/>
          <w:color w:val="1F2233"/>
          <w:sz w:val="21"/>
        </w:rPr>
        <w:t>在真伪难辨的环境里，「可判断、可验证、有立场」的内容机构获得溢价。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2D7FF9"/>
          <w:sz w:val="32"/>
        </w:rPr>
        <w:t>▍</w:t>
      </w:r>
      <w:r>
        <w:rPr>
          <w:rFonts w:ascii="微软雅黑" w:hAnsi="微软雅黑" w:eastAsia="微软雅黑"/>
          <w:b/>
          <w:color w:val="1F2233"/>
          <w:sz w:val="36"/>
        </w:rPr>
        <w:t>第六章 用户痛点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68" w:hRule="exact"/>
        </w:trPr>
        <w:tc>
          <w:tcPr>
            <w:tcW w:type="dxa" w:w="794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微软雅黑" w:hAnsi="微软雅黑" w:eastAsia="微软雅黑"/>
          <w:color w:val="1F2233"/>
          <w:sz w:val="21"/>
        </w:rPr>
        <w:t>信息过载：每天被 AI 新闻淹没，却说不清哪些与自己相关。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F2233"/>
          <w:sz w:val="21"/>
        </w:rPr>
        <w:t>噪音误导：夸大宣传与标题党并存，难以分辨真变化与假风口。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F2233"/>
          <w:sz w:val="21"/>
        </w:rPr>
        <w:t>认知断层：知道 AI 重要，但不知道从哪学、怎么用。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F2233"/>
          <w:sz w:val="21"/>
        </w:rPr>
        <w:t>落地无门：企业想用 AI，却卡在「自研/采购/外包」与「从哪里试点」。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F2233"/>
          <w:sz w:val="21"/>
        </w:rPr>
        <w:t>资产沉没：内容看完即忘，缺乏可检索、可复用的知识沉淀。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2D7FF9"/>
          <w:sz w:val="32"/>
        </w:rPr>
        <w:t>▍</w:t>
      </w:r>
      <w:r>
        <w:rPr>
          <w:rFonts w:ascii="微软雅黑" w:hAnsi="微软雅黑" w:eastAsia="微软雅黑"/>
          <w:b/>
          <w:color w:val="1F2233"/>
          <w:sz w:val="36"/>
        </w:rPr>
        <w:t>第七章 市场空白与机会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68" w:hRule="exact"/>
        </w:trPr>
        <w:tc>
          <w:tcPr>
            <w:tcW w:type="dxa" w:w="794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518"/>
      </w:tblGrid>
      <w:tr>
        <w:tc>
          <w:tcPr>
            <w:tcW w:type="dxa" w:w="9518"/>
            <w:shd w:val="clear" w:color="auto" w:fill="F5F6FB"/>
            <w:tcMar>
              <w:top w:w="140" w:type="dxa"/>
              <w:bottom w:w="140" w:type="dxa"/>
              <w:start w:w="180" w:type="dxa"/>
              <w:end w:w="180" w:type="dxa"/>
              <w:left w:w="180" w:type="dxa"/>
              <w:right w:w="180" w:type="dxa"/>
            </w:tcMar>
          </w:tcPr>
          <w:p>
            <w:r>
              <w:rPr>
                <w:rFonts w:ascii="微软雅黑" w:hAnsi="微软雅黑" w:eastAsia="微软雅黑"/>
                <w:b/>
                <w:color w:val="7C5CFC"/>
                <w:sz w:val="21"/>
              </w:rPr>
              <w:t xml:space="preserve">核心机会  </w:t>
            </w:r>
            <w:r>
              <w:rPr>
                <w:rFonts w:ascii="微软雅黑" w:hAnsi="微软雅黑" w:eastAsia="微软雅黑"/>
                <w:color w:val="1F2233"/>
                <w:sz w:val="21"/>
              </w:rPr>
              <w:t>现有玩家要么「搬运新闻」，要么「罗列工具」，要么「只讲产业」。能把同一条信息拆成三层、并连接到真实工作与业务场景的解释型平台，仍是空白。</w:t>
            </w:r>
          </w:p>
        </w:tc>
      </w:tr>
    </w:tbl>
    <w:p>
      <w:pPr>
        <w:spacing w:after="80"/>
      </w:pPr>
    </w:p>
    <w:p>
      <w:pPr>
        <w:pStyle w:val="ListBullet"/>
        <w:spacing w:after="40"/>
      </w:pPr>
      <w:r>
        <w:rPr>
          <w:rFonts w:ascii="微软雅黑" w:hAnsi="微软雅黑" w:eastAsia="微软雅黑"/>
          <w:color w:val="1F2233"/>
          <w:sz w:val="21"/>
        </w:rPr>
        <w:t>三层解释系统：个人/企业/产业同题异构，构建差异化护城河。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F2233"/>
          <w:sz w:val="21"/>
        </w:rPr>
        <w:t>内容即资产：把碎片内容沉淀为可检索、可订阅的 AI 情报库。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F2233"/>
          <w:sz w:val="21"/>
        </w:rPr>
        <w:t>认知到商业的闭环：内容→课程→社群→咨询→软件，形成转化链路。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2D7FF9"/>
          <w:sz w:val="32"/>
        </w:rPr>
        <w:t>▍</w:t>
      </w:r>
      <w:r>
        <w:rPr>
          <w:rFonts w:ascii="微软雅黑" w:hAnsi="微软雅黑" w:eastAsia="微软雅黑"/>
          <w:b/>
          <w:color w:val="1F2233"/>
          <w:sz w:val="36"/>
        </w:rPr>
        <w:t>第八章 结论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68" w:hRule="exact"/>
        </w:trPr>
        <w:tc>
          <w:tcPr>
            <w:tcW w:type="dxa" w:w="794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color w:val="1F2233"/>
          <w:sz w:val="21"/>
        </w:rPr>
        <w:t>AI 信息与服务市场处于高速扩张与同质化并存的阶段。需求侧的结构性缺口——「看清、理解、用上」——尚未被有效满足。彩虹之眼以「筛选—解释—组织」的解释能力切入，兼具内容流量入口与商业转化链路，具备成为 AI 时代「情报中枢」的品牌机会。</w:t>
      </w:r>
    </w:p>
    <w:sectPr w:rsidR="00FC693F" w:rsidRPr="0006063C" w:rsidSect="00034616">
      <w:footerReference w:type="default" r:id="rId9"/>
      <w:pgSz w:w="12240" w:h="15840"/>
      <w:pgMar w:top="1361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5A5F73"/>
        <w:sz w:val="16"/>
      </w:rPr>
      <w:t xml:space="preserve">彩虹之眼 · 市场调研报告    |    第 </w:t>
    </w:r>
    <w:r>
      <w:rPr>
        <w:rFonts w:ascii="微软雅黑" w:hAnsi="微软雅黑" w:eastAsia="微软雅黑"/>
      </w:rPr>
      <w:fldChar w:fldCharType="begin"/>
      <w:instrText xml:space="preserve">PAGE</w:instrText>
      <w:fldChar w:fldCharType="end"/>
    </w:r>
    <w:r>
      <w:rPr>
        <w:rFonts w:ascii="微软雅黑" w:hAnsi="微软雅黑" w:eastAsia="微软雅黑"/>
        <w:color w:val="5A5F73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微软雅黑" w:hAnsi="微软雅黑"/>
      <w:color w:val="1F2233"/>
      <w:sz w:val="21"/>
    </w:rPr>
    <w:rFonts w:eastAsia="微软雅黑" w:ascii="微软雅黑" w:hAnsi="微软雅黑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