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283" w:hRule="exact"/>
        </w:trPr>
        <w:tc>
          <w:tcPr>
            <w:tcW w:type="dxa" w:w="1586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1586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0"/>
      </w:pPr>
    </w:p>
    <w:p>
      <w:pPr>
        <w:jc w:val="center"/>
      </w:pPr>
      <w:r>
        <w:rPr>
          <w:rFonts w:ascii="微软雅黑" w:hAnsi="微软雅黑" w:eastAsia="微软雅黑"/>
          <w:b/>
          <w:color w:val="2D7FF9"/>
          <w:sz w:val="26"/>
        </w:rPr>
        <w:t>PHASE 01 · 调研分析</w:t>
      </w:r>
    </w:p>
    <w:p>
      <w:pPr>
        <w:spacing w:after="200"/>
      </w:pPr>
    </w:p>
    <w:p>
      <w:pPr>
        <w:jc w:val="center"/>
      </w:pPr>
      <w:r>
        <w:rPr>
          <w:rFonts w:ascii="微软雅黑" w:hAnsi="微软雅黑" w:eastAsia="微软雅黑"/>
          <w:b/>
          <w:color w:val="1F2233"/>
          <w:sz w:val="68"/>
        </w:rPr>
        <w:t>消费者洞察报告</w:t>
      </w:r>
    </w:p>
    <w:p>
      <w:pPr>
        <w:spacing w:after="12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30"/>
        </w:rPr>
        <w:t>CONSUMER INSIGHTS</w:t>
      </w:r>
    </w:p>
    <w:p>
      <w:pPr>
        <w:spacing w:after="5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20" w:type="dxa"/>
              <w:bottom w:w="120" w:type="dxa"/>
              <w:start w:w="200" w:type="dxa"/>
              <w:end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2D7FF9"/>
                <w:sz w:val="28"/>
              </w:rPr>
              <w:t>“一眼，看穿 AI 复杂”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4"/>
        </w:rPr>
        <w:t>三类人群画像 · 需求 · 决策旅程</w:t>
      </w:r>
    </w:p>
    <w:p>
      <w:pPr>
        <w:spacing w:after="1000"/>
      </w:pPr>
    </w:p>
    <w:p>
      <w:pPr>
        <w:jc w:val="center"/>
      </w:pPr>
      <w:r>
        <w:rPr>
          <w:rFonts w:ascii="微软雅黑" w:hAnsi="微软雅黑" w:eastAsia="微软雅黑"/>
          <w:color w:val="5A5F73"/>
          <w:sz w:val="21"/>
        </w:rPr>
        <w:t>彩虹之眼 · RAINBOW EYE</w:t>
        <w:br/>
        <w:t>品牌全案交付物 · 2026</w:t>
      </w:r>
    </w:p>
    <w:p>
      <w:r>
        <w:br w:type="page"/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第一章 研究框架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color w:val="1F2233"/>
          <w:sz w:val="21"/>
        </w:rPr>
        <w:t>基于「彩虹之眼」服务对象，将市场划分为三类核心人群，分别从人口特征、目标动机、信息行为、决策旅程四个维度展开，提炼可用于内容、产品与传播的洞察。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普通个体</w:t>
            </w:r>
          </w:p>
        </w:tc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中小企业/传统企业</w:t>
            </w:r>
          </w:p>
        </w:tc>
        <w:tc>
          <w:tcPr>
            <w:tcW w:type="dxa" w:w="2379"/>
            <w:shd w:val="clear" w:color="auto" w:fill="7C5CFC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 产业从业者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核心目标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用 AI 提效/副业/学技能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AI 降本增效、优化业务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找产品机会/融资/趋势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内容诉求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通俗·有故事·有案例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行业化·场景化·案例化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事件·公司·产品·投资逻辑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内容系列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【用 AI work】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【中小企业 AI 工作流】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【AI 产业现场】</w:t>
            </w:r>
          </w:p>
        </w:tc>
      </w:tr>
      <w:tr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信息焦虑点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学不会、怕被淘汰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不知从哪试点、怕踩坑</w:t>
            </w:r>
          </w:p>
        </w:tc>
        <w:tc>
          <w:tcPr>
            <w:tcW w:type="dxa" w:w="2379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  <w:shd w:val="clear" w:color="auto" w:fill="F2F4FA"/>
          </w:tcPr>
          <w:p>
            <w:r>
              <w:rPr>
                <w:rFonts w:ascii="微软雅黑" w:hAnsi="微软雅黑" w:eastAsia="微软雅黑"/>
                <w:color w:val="1F2233"/>
                <w:sz w:val="19"/>
              </w:rPr>
              <w:t>信号太多、判断困难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第二章 人群画像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画像 A · 普通个体「职场人小林」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画像：</w:t>
      </w:r>
      <w:r>
        <w:rPr>
          <w:rFonts w:ascii="微软雅黑" w:hAnsi="微软雅黑" w:eastAsia="微软雅黑"/>
          <w:color w:val="1F2233"/>
          <w:sz w:val="21"/>
        </w:rPr>
        <w:t>25–35 岁职场人，非技术背景，关注效率与个人成长。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痛点：</w:t>
      </w:r>
      <w:r>
        <w:rPr>
          <w:rFonts w:ascii="微软雅黑" w:hAnsi="微软雅黑" w:eastAsia="微软雅黑"/>
          <w:color w:val="1F2233"/>
          <w:sz w:val="21"/>
        </w:rPr>
        <w:t>知道 AI 重要但无从下手，担心被替代，想做副业。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信息源：</w:t>
      </w:r>
      <w:r>
        <w:rPr>
          <w:rFonts w:ascii="微软雅黑" w:hAnsi="微软雅黑" w:eastAsia="微软雅黑"/>
          <w:color w:val="1F2233"/>
          <w:sz w:val="21"/>
        </w:rPr>
        <w:t>微信、抖音、小红书、B站、知乎。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决策：</w:t>
      </w:r>
      <w:r>
        <w:rPr>
          <w:rFonts w:ascii="微软雅黑" w:hAnsi="微软雅黑" w:eastAsia="微软雅黑"/>
          <w:color w:val="1F2233"/>
          <w:sz w:val="21"/>
        </w:rPr>
        <w:t>被具体案例与「手把手步骤」打动，易被夸大宣传误导。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画像 B · 中小企业主「王总」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画像：</w:t>
      </w:r>
      <w:r>
        <w:rPr>
          <w:rFonts w:ascii="微软雅黑" w:hAnsi="微软雅黑" w:eastAsia="微软雅黑"/>
          <w:color w:val="1F2233"/>
          <w:sz w:val="21"/>
        </w:rPr>
        <w:t>传统行业老板/业务负责人，务实、结果导向。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痛点：</w:t>
      </w:r>
      <w:r>
        <w:rPr>
          <w:rFonts w:ascii="微软雅黑" w:hAnsi="微软雅黑" w:eastAsia="微软雅黑"/>
          <w:color w:val="1F2233"/>
          <w:sz w:val="21"/>
        </w:rPr>
        <w:t>想用 AI 降本增效，但不知行业怎么落地、该自研还是采购。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信息源：</w:t>
      </w:r>
      <w:r>
        <w:rPr>
          <w:rFonts w:ascii="微软雅黑" w:hAnsi="微软雅黑" w:eastAsia="微软雅黑"/>
          <w:color w:val="1F2233"/>
          <w:sz w:val="21"/>
        </w:rPr>
        <w:t>公众号、行业社群、同行推荐、短视频。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决策：</w:t>
      </w:r>
      <w:r>
        <w:rPr>
          <w:rFonts w:ascii="微软雅黑" w:hAnsi="微软雅黑" w:eastAsia="微软雅黑"/>
          <w:color w:val="1F2233"/>
          <w:sz w:val="21"/>
        </w:rPr>
        <w:t>需要 ROI 与案例，「试点小场景」是突破口。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7C5CFC"/>
          <w:sz w:val="27"/>
        </w:rPr>
        <w:t>画像 C · 产业人「陈工」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画像：</w:t>
      </w:r>
      <w:r>
        <w:rPr>
          <w:rFonts w:ascii="微软雅黑" w:hAnsi="微软雅黑" w:eastAsia="微软雅黑"/>
          <w:color w:val="1F2233"/>
          <w:sz w:val="21"/>
        </w:rPr>
        <w:t>AI 创业者/从业者/投资人/产品经理。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痛点：</w:t>
      </w:r>
      <w:r>
        <w:rPr>
          <w:rFonts w:ascii="微软雅黑" w:hAnsi="微软雅黑" w:eastAsia="微软雅黑"/>
          <w:color w:val="1F2233"/>
          <w:sz w:val="21"/>
        </w:rPr>
        <w:t>信号过载，需要判断产品机会与竞争格局变化。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信息源：</w:t>
      </w:r>
      <w:r>
        <w:rPr>
          <w:rFonts w:ascii="微软雅黑" w:hAnsi="微软雅黑" w:eastAsia="微软雅黑"/>
          <w:color w:val="1F2233"/>
          <w:sz w:val="21"/>
        </w:rPr>
        <w:t>专业媒体、论文、社群、一手活动。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决策：</w:t>
      </w:r>
      <w:r>
        <w:rPr>
          <w:rFonts w:ascii="微软雅黑" w:hAnsi="微软雅黑" w:eastAsia="微软雅黑"/>
          <w:color w:val="1F2233"/>
          <w:sz w:val="21"/>
        </w:rPr>
        <w:t>重逻辑与立场，需要结构化、可验证的产业判断。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第三章 需求与动机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D7FF9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D7FF9"/>
                <w:sz w:val="23"/>
              </w:rPr>
              <w:t>个体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能力焦虑→成长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效率焦虑→工具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机会焦虑→副业</w:t>
            </w:r>
          </w:p>
        </w:tc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22C55E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22C55E"/>
                <w:sz w:val="23"/>
              </w:rPr>
              <w:t>企业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成本焦虑→增效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竞争焦虑→转型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决策焦虑→试点</w:t>
            </w:r>
          </w:p>
        </w:tc>
        <w:tc>
          <w:tcPr>
            <w:tcW w:type="dxa" w:w="3173"/>
            <w:tcMar>
              <w:top w:w="140" w:type="dxa"/>
              <w:bottom w:w="140" w:type="dxa"/>
              <w:start w:w="140" w:type="dxa"/>
              <w:end w:w="140" w:type="dxa"/>
              <w:left w:w="140" w:type="dxa"/>
              <w:right w:w="140" w:type="dxa"/>
            </w:tcMar>
            <w:shd w:val="clear" w:color="auto" w:fill="FFFFFF"/>
          </w:tcPr>
          <w:p>
            <w:pPr>
              <w:spacing w:after="60" w:before="0"/>
              <w:shd w:val="clear" w:color="auto" w:fill="7C5CFC"/>
            </w:pPr>
            <w:r>
              <w:rPr>
                <w:sz w:val="12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7C5CFC"/>
                <w:sz w:val="23"/>
              </w:rPr>
              <w:t>产业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机会焦虑→判断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竞争焦虑→格局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color w:val="1F2233"/>
                <w:sz w:val="19"/>
              </w:rPr>
              <w:t>信号焦虑→过滤</w:t>
            </w:r>
          </w:p>
        </w:tc>
      </w:tr>
    </w:tbl>
    <w:p>
      <w:pPr>
        <w:spacing w:after="12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第四章 决策旅程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认知：被热点/标题吸引，产生「AI 好厉害/好可怕」的初步情绪。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考虑：主动搜索「XX 怎么用/值不值得」，进入比较与怀疑。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使用：试用工具/方法，成败决定留存与口碑。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推荐：真实收益后，成为自发传播节点。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18"/>
      </w:tblGrid>
      <w:tr>
        <w:tc>
          <w:tcPr>
            <w:tcW w:type="dxa" w:w="9518"/>
            <w:shd w:val="clear" w:color="auto" w:fill="F5F6FB"/>
            <w:tcMar>
              <w:top w:w="140" w:type="dxa"/>
              <w:bottom w:w="140" w:type="dxa"/>
              <w:start w:w="180" w:type="dxa"/>
              <w:end w:w="180" w:type="dxa"/>
              <w:left w:w="180" w:type="dxa"/>
              <w:right w:w="180" w:type="dxa"/>
            </w:tcMar>
          </w:tcPr>
          <w:p>
            <w:r>
              <w:rPr>
                <w:rFonts w:ascii="微软雅黑" w:hAnsi="微软雅黑" w:eastAsia="微软雅黑"/>
                <w:b/>
                <w:color w:val="19C3D6"/>
                <w:sz w:val="21"/>
              </w:rPr>
              <w:t xml:space="preserve">关键断点  </w:t>
            </w:r>
            <w:r>
              <w:rPr>
                <w:rFonts w:ascii="微软雅黑" w:hAnsi="微软雅黑" w:eastAsia="微软雅黑"/>
                <w:color w:val="1F2233"/>
                <w:sz w:val="21"/>
              </w:rPr>
              <w:t>每一层人群在四个阶段的信息需求不同，但都卡在「考虑→使用」的断点上——没人帮他们把信息翻译成行动。</w:t>
            </w:r>
          </w:p>
        </w:tc>
      </w:tr>
    </w:tbl>
    <w:p>
      <w:pPr>
        <w:spacing w:after="80"/>
      </w:pP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第五章 关键洞察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1F2233"/>
          <w:sz w:val="23"/>
        </w:rPr>
        <w:t>可指导战略的洞察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洞察一：</w:t>
      </w:r>
      <w:r>
        <w:rPr>
          <w:rFonts w:ascii="微软雅黑" w:hAnsi="微软雅黑" w:eastAsia="微软雅黑"/>
          <w:color w:val="1F2233"/>
          <w:sz w:val="21"/>
        </w:rPr>
        <w:t>信息不是问题，判断才是。用户为「帮我看清楚」付费的意愿远高于为「更多资讯」付费。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洞察二：</w:t>
      </w:r>
      <w:r>
        <w:rPr>
          <w:rFonts w:ascii="微软雅黑" w:hAnsi="微软雅黑" w:eastAsia="微软雅黑"/>
          <w:color w:val="1F2233"/>
          <w:sz w:val="21"/>
        </w:rPr>
        <w:t>三类人群对同一 AI 事件的关注点天然不同，分层解释能同时抓住三批人。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洞察三：</w:t>
      </w:r>
      <w:r>
        <w:rPr>
          <w:rFonts w:ascii="微软雅黑" w:hAnsi="微软雅黑" w:eastAsia="微软雅黑"/>
          <w:color w:val="1F2233"/>
          <w:sz w:val="21"/>
        </w:rPr>
        <w:t>从「知道」到「用上」之间存在巨大服务空白，工作流模板与案例是撬点。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2D7FF9"/>
          <w:sz w:val="21"/>
        </w:rPr>
        <w:t>洞察四：</w:t>
      </w:r>
      <w:r>
        <w:rPr>
          <w:rFonts w:ascii="微软雅黑" w:hAnsi="微软雅黑" w:eastAsia="微软雅黑"/>
          <w:color w:val="1F2233"/>
          <w:sz w:val="21"/>
        </w:rPr>
        <w:t>社群与会员能显著降低认知焦虑，把一次性读者变成长久关系。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2D7FF9"/>
          <w:sz w:val="32"/>
        </w:rPr>
        <w:t>▍</w:t>
      </w:r>
      <w:r>
        <w:rPr>
          <w:rFonts w:ascii="微软雅黑" w:hAnsi="微软雅黑" w:eastAsia="微软雅黑"/>
          <w:b/>
          <w:color w:val="1F2233"/>
          <w:sz w:val="36"/>
        </w:rPr>
        <w:t>第六章 对业务的启示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rHeight w:val="68" w:hRule="exact"/>
        </w:trPr>
        <w:tc>
          <w:tcPr>
            <w:tcW w:type="dxa" w:w="794"/>
            <w:shd w:val="clear" w:color="auto" w:fill="7C5CFC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D7FF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19C3D6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22C55E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5A623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  <w:tc>
          <w:tcPr>
            <w:tcW w:type="dxa" w:w="794"/>
            <w:shd w:val="clear" w:color="auto" w:fill="FF6B6B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/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内容：坚持三层解释，让同一事件产出个人/企业/产业三种内容。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产品：用「AI 情报库 + 工作流模板」承接从认知到使用的转化。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F2233"/>
          <w:sz w:val="21"/>
        </w:rPr>
        <w:t>传播：对不同人群用不同语调与触点，但统一在「一眼看穿」的核心信息下。</w:t>
      </w:r>
    </w:p>
    <w:sectPr w:rsidR="00FC693F" w:rsidRPr="0006063C" w:rsidSect="00034616">
      <w:footerReference w:type="default" r:id="rId9"/>
      <w:pgSz w:w="12240" w:h="15840"/>
      <w:pgMar w:top="1361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A5F73"/>
        <w:sz w:val="16"/>
      </w:rPr>
      <w:t xml:space="preserve">彩虹之眼 · 消费者洞察报告    |    第 </w:t>
    </w:r>
    <w:r>
      <w:rPr>
        <w:rFonts w:ascii="微软雅黑" w:hAnsi="微软雅黑" w:eastAsia="微软雅黑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color w:val="5A5F73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color w:val="1F2233"/>
      <w:sz w:val="21"/>
    </w:rPr>
    <w:rFonts w:eastAsia="微软雅黑" w:ascii="微软雅黑" w:hAnsi="微软雅黑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