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283" w:hRule="exact"/>
        </w:trPr>
        <w:tc>
          <w:tcPr>
            <w:tcW w:type="dxa" w:w="1586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after="800"/>
      </w:pPr>
    </w:p>
    <w:p>
      <w:pPr>
        <w:jc w:val="center"/>
      </w:pPr>
      <w:r>
        <w:rPr>
          <w:rFonts w:ascii="微软雅黑" w:hAnsi="微软雅黑" w:eastAsia="微软雅黑"/>
          <w:b/>
          <w:color w:val="2D7FF9"/>
          <w:sz w:val="26"/>
        </w:rPr>
        <w:t>PHASE 04 · 传播执行</w:t>
      </w:r>
    </w:p>
    <w:p>
      <w:pPr>
        <w:spacing w:after="200"/>
      </w:pPr>
    </w:p>
    <w:p>
      <w:pPr>
        <w:jc w:val="center"/>
      </w:pPr>
      <w:r>
        <w:rPr>
          <w:rFonts w:ascii="微软雅黑" w:hAnsi="微软雅黑" w:eastAsia="微软雅黑"/>
          <w:b/>
          <w:color w:val="1F2233"/>
          <w:sz w:val="68"/>
        </w:rPr>
        <w:t>年度传播策略方案</w:t>
      </w:r>
    </w:p>
    <w:p>
      <w:pPr>
        <w:spacing w:after="12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30"/>
        </w:rPr>
        <w:t>COMMUNICATION STRATEGY</w:t>
      </w:r>
    </w:p>
    <w:p>
      <w:pPr>
        <w:spacing w:after="5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2D7FF9"/>
                <w:sz w:val="28"/>
              </w:rPr>
              <w:t>“一眼，看穿 AI 复杂”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24"/>
        </w:rPr>
        <w:t>Message House · 营销日历 · 预算</w:t>
      </w:r>
    </w:p>
    <w:p>
      <w:pPr>
        <w:spacing w:after="100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21"/>
        </w:rPr>
        <w:t>彩虹之眼 · RAINBOW EYE</w:t>
        <w:br/>
        <w:t>品牌全案交付物 · 2026</w:t>
      </w:r>
    </w:p>
    <w:p>
      <w:r>
        <w:br w:type="page"/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第一章 Message House 传播核心信息屋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40" w:type="dxa"/>
              <w:bottom w:w="14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2D7FF9"/>
                <w:sz w:val="21"/>
              </w:rPr>
              <w:t xml:space="preserve">Core Message  </w:t>
            </w:r>
            <w:r>
              <w:rPr>
                <w:rFonts w:ascii="微软雅黑" w:hAnsi="微软雅黑" w:eastAsia="微软雅黑"/>
                <w:color w:val="1F2233"/>
                <w:sz w:val="21"/>
              </w:rPr>
              <w:t>核心信息（屋顶）：一眼，看穿 AI 复杂——让每个人都看懂、用好 AI。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2D7FF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支撑点</w:t>
            </w:r>
          </w:p>
        </w:tc>
        <w:tc>
          <w:tcPr>
            <w:tcW w:type="dxa" w:w="3173"/>
            <w:shd w:val="clear" w:color="auto" w:fill="2D7FF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173"/>
            <w:shd w:val="clear" w:color="auto" w:fill="2D7FF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落地话术示例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筛选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我们只讲真正重要的变化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「每天 100 条 AI 新闻，我们只留 3 条值得你花时间的」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解释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按你的身份翻译成人话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「对打工人的你，它意味着少加班；对老板，它意味着省成本」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组织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把碎片变成可复用的体系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「一篇看不完？情报库里随时查、随时学」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第二章 三大策略支柱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2D7FF9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2D7FF9"/>
                <w:sz w:val="23"/>
              </w:rPr>
              <w:t>渠道策略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腾讯系(公众号/视频号/社群/小程序)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字节系(抖音)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PC(36氪/虎嗅/搜狐)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独立(知乎/小红书/B站)</w:t>
            </w:r>
          </w:p>
        </w:tc>
        <w:tc>
          <w:tcPr>
            <w:tcW w:type="dxa" w:w="3173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19C3D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19C3D6"/>
                <w:sz w:val="23"/>
              </w:rPr>
              <w:t>内容策略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三大系列矩阵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标准化生产流水线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KOL/KOC 共创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同题异构三层产出</w:t>
            </w:r>
          </w:p>
        </w:tc>
        <w:tc>
          <w:tcPr>
            <w:tcW w:type="dxa" w:w="3173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7C5CFC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7C5CFC"/>
                <w:sz w:val="23"/>
              </w:rPr>
              <w:t>年度主题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大主题统领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季度子主题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月度热点承接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事件化引爆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第三章 年度与季度主题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7C5CFC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季度</w:t>
            </w:r>
          </w:p>
        </w:tc>
        <w:tc>
          <w:tcPr>
            <w:tcW w:type="dxa" w:w="3173"/>
            <w:shd w:val="clear" w:color="auto" w:fill="7C5CFC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子主题</w:t>
            </w:r>
          </w:p>
        </w:tc>
        <w:tc>
          <w:tcPr>
            <w:tcW w:type="dxa" w:w="3173"/>
            <w:shd w:val="clear" w:color="auto" w:fill="7C5CFC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关键动作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Q1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品牌首发·看清开始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官网/小程序上线、首发内容与Logo发布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Q2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内容 IP·行业发声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三大系列成型、行业白皮书、KOL 合作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Q3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用户增长·私域运营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会员体系、社群分层、工作流模板爆发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Q4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年度事件·品牌沉淀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彩虹节、年度榜单、商业闭环收口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第四章 年度营销日历（节点示例）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22C55E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379"/>
            <w:shd w:val="clear" w:color="auto" w:fill="22C55E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节点/主题</w:t>
            </w:r>
          </w:p>
        </w:tc>
        <w:tc>
          <w:tcPr>
            <w:tcW w:type="dxa" w:w="2379"/>
            <w:shd w:val="clear" w:color="auto" w:fill="22C55E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形式</w:t>
            </w:r>
          </w:p>
        </w:tc>
        <w:tc>
          <w:tcPr>
            <w:tcW w:type="dxa" w:w="2379"/>
            <w:shd w:val="clear" w:color="auto" w:fill="22C55E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1月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品牌首发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发布会+全网官宣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认知建立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3月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春季 AI 工具榜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榜单+短视频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引流获客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5月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中小企业 AI 工作流月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直播+案例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企业线索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7月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会员日/暑期训练营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课程+社群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转化留存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9月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产业现场大会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线下+直播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行业声量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11月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彩虹节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年度盛典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品牌峰值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12月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年度 AI 榜单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报告+盘点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沉淀复盘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第五章 旗舰 Campaign：彩虹节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1F2233"/>
          <w:sz w:val="23"/>
        </w:rPr>
        <w:t>彩虹节执行框架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创意概念：</w:t>
      </w:r>
      <w:r>
        <w:rPr>
          <w:rFonts w:ascii="微软雅黑" w:hAnsi="微软雅黑" w:eastAsia="微软雅黑"/>
          <w:color w:val="1F2233"/>
          <w:sz w:val="21"/>
        </w:rPr>
        <w:t>把「一眼看穿」做成可参与的年度盛典：七色对应七类 AI 议题。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主题延展：</w:t>
      </w:r>
      <w:r>
        <w:rPr>
          <w:rFonts w:ascii="微软雅黑" w:hAnsi="微软雅黑" w:eastAsia="微软雅黑"/>
          <w:color w:val="1F2233"/>
          <w:sz w:val="21"/>
        </w:rPr>
        <w:t>线上七色话题挑战 + 线下产业沙龙 + 年度 AI 榜单发布。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物料清单：</w:t>
      </w:r>
      <w:r>
        <w:rPr>
          <w:rFonts w:ascii="微软雅黑" w:hAnsi="微软雅黑" w:eastAsia="微软雅黑"/>
          <w:color w:val="1F2233"/>
          <w:sz w:val="21"/>
        </w:rPr>
        <w:t>主视觉KV、社媒九宫格、直播背景、周边、小程序专题页。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效果回收：</w:t>
      </w:r>
      <w:r>
        <w:rPr>
          <w:rFonts w:ascii="微软雅黑" w:hAnsi="微软雅黑" w:eastAsia="微软雅黑"/>
          <w:color w:val="1F2233"/>
          <w:sz w:val="21"/>
        </w:rPr>
        <w:t>以新增关注、会员转化、企业线索、UGC 量为核心指标。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第六章 媒介组合与预算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F5A62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板块</w:t>
            </w:r>
          </w:p>
        </w:tc>
        <w:tc>
          <w:tcPr>
            <w:tcW w:type="dxa" w:w="3173"/>
            <w:shd w:val="clear" w:color="auto" w:fill="F5A62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3173"/>
            <w:shd w:val="clear" w:color="auto" w:fill="F5A62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品牌内容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40%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官网/公众号/短视频/白皮书等自有内容生产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精准投放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35%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信息流/搜索/社群广告，按人群定向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活动事件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25%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彩虹节、直播、线下沙龙与KOL合作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40" w:type="dxa"/>
              <w:bottom w:w="14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F5A623"/>
                <w:sz w:val="21"/>
              </w:rPr>
              <w:t xml:space="preserve">预算逻辑  </w:t>
            </w:r>
            <w:r>
              <w:rPr>
                <w:rFonts w:ascii="微软雅黑" w:hAnsi="微软雅黑" w:eastAsia="微软雅黑"/>
                <w:color w:val="1F2233"/>
                <w:sz w:val="21"/>
              </w:rPr>
              <w:t>预算原则：自有内容做厚基本盘，精准投放拉新，活动事件造峰值；按季度复盘动态调配。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第七章 KPI 与衡量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认知：曝光量、品牌词搜索量、媒体声量。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 xml:space="preserve"> engagement：阅读/完播、互动率、社群活跃。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转化：会员数、企业线索、小程序留存与订阅。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资产：情报库内容量、复用率、年度榜单影响力。</w:t>
      </w:r>
    </w:p>
    <w:sectPr w:rsidR="00FC693F" w:rsidRPr="0006063C" w:rsidSect="00034616">
      <w:footerReference w:type="default" r:id="rId9"/>
      <w:pgSz w:w="12240" w:h="15840"/>
      <w:pgMar w:top="1361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A5F73"/>
        <w:sz w:val="16"/>
      </w:rPr>
      <w:t xml:space="preserve">彩虹之眼 · 年度传播策略方案    |    第 </w:t>
    </w:r>
    <w:r>
      <w:rPr>
        <w:rFonts w:ascii="微软雅黑" w:hAnsi="微软雅黑" w:eastAsia="微软雅黑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5A5F73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/>
      <w:color w:val="1F2233"/>
      <w:sz w:val="21"/>
    </w:rPr>
    <w:rFonts w:eastAsia="微软雅黑" w:ascii="微软雅黑" w:hAnsi="微软雅黑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