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86"/>
        <w:gridCol w:w="1586"/>
        <w:gridCol w:w="1586"/>
        <w:gridCol w:w="1586"/>
        <w:gridCol w:w="1586"/>
        <w:gridCol w:w="1586"/>
      </w:tblGrid>
      <w:tr>
        <w:trPr>
          <w:trHeight w:val="283" w:hRule="exact"/>
        </w:trPr>
        <w:tc>
          <w:tcPr>
            <w:tcW w:type="dxa" w:w="1586"/>
            <w:shd w:val="clear" w:color="auto" w:fill="7C5CFC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1586"/>
            <w:shd w:val="clear" w:color="auto" w:fill="2D7FF9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1586"/>
            <w:shd w:val="clear" w:color="auto" w:fill="19C3D6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1586"/>
            <w:shd w:val="clear" w:color="auto" w:fill="22C55E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1586"/>
            <w:shd w:val="clear" w:color="auto" w:fill="F5A623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1586"/>
            <w:shd w:val="clear" w:color="auto" w:fill="FF6B6B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</w:tr>
    </w:tbl>
    <w:p>
      <w:pPr>
        <w:spacing w:after="40"/>
      </w:pPr>
    </w:p>
    <w:p>
      <w:pPr>
        <w:spacing w:after="800"/>
      </w:pPr>
    </w:p>
    <w:p>
      <w:pPr>
        <w:jc w:val="center"/>
      </w:pPr>
      <w:r>
        <w:rPr>
          <w:rFonts w:ascii="微软雅黑" w:hAnsi="微软雅黑" w:eastAsia="微软雅黑"/>
          <w:b/>
          <w:color w:val="2D7FF9"/>
          <w:sz w:val="26"/>
        </w:rPr>
        <w:t>PHASE 05 · 管理规范</w:t>
      </w:r>
    </w:p>
    <w:p>
      <w:pPr>
        <w:spacing w:after="200"/>
      </w:pPr>
    </w:p>
    <w:p>
      <w:pPr>
        <w:jc w:val="center"/>
      </w:pPr>
      <w:r>
        <w:rPr>
          <w:rFonts w:ascii="微软雅黑" w:hAnsi="微软雅黑" w:eastAsia="微软雅黑"/>
          <w:b/>
          <w:color w:val="1F2233"/>
          <w:sz w:val="68"/>
        </w:rPr>
        <w:t>品牌管理手册</w:t>
      </w:r>
    </w:p>
    <w:p>
      <w:pPr>
        <w:spacing w:after="120"/>
      </w:pPr>
    </w:p>
    <w:p>
      <w:pPr>
        <w:jc w:val="center"/>
      </w:pPr>
      <w:r>
        <w:rPr>
          <w:rFonts w:ascii="微软雅黑" w:hAnsi="微软雅黑" w:eastAsia="微软雅黑"/>
          <w:color w:val="5A5F73"/>
          <w:sz w:val="30"/>
        </w:rPr>
        <w:t>BRAND MANAGEMENT</w:t>
      </w:r>
    </w:p>
    <w:p>
      <w:pPr>
        <w:spacing w:after="5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518"/>
      </w:tblGrid>
      <w:tr>
        <w:tc>
          <w:tcPr>
            <w:tcW w:type="dxa" w:w="9518"/>
            <w:shd w:val="clear" w:color="auto" w:fill="F5F6FB"/>
            <w:tcMar>
              <w:top w:w="120" w:type="dxa"/>
              <w:bottom w:w="120" w:type="dxa"/>
              <w:start w:w="200" w:type="dxa"/>
              <w:end w:w="20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2D7FF9"/>
                <w:sz w:val="28"/>
              </w:rPr>
              <w:t>“一眼，看穿 AI 复杂”</w:t>
            </w:r>
          </w:p>
        </w:tc>
      </w:tr>
    </w:tbl>
    <w:p>
      <w:pPr>
        <w:spacing w:after="600"/>
      </w:pPr>
    </w:p>
    <w:p>
      <w:pPr>
        <w:jc w:val="center"/>
      </w:pPr>
      <w:r>
        <w:rPr>
          <w:rFonts w:ascii="微软雅黑" w:hAnsi="微软雅黑" w:eastAsia="微软雅黑"/>
          <w:color w:val="5A5F73"/>
          <w:sz w:val="24"/>
        </w:rPr>
        <w:t>资产管理 · 审批流程 · 露出规范</w:t>
      </w:r>
    </w:p>
    <w:p>
      <w:pPr>
        <w:spacing w:after="1000"/>
      </w:pPr>
    </w:p>
    <w:p>
      <w:pPr>
        <w:jc w:val="center"/>
      </w:pPr>
      <w:r>
        <w:rPr>
          <w:rFonts w:ascii="微软雅黑" w:hAnsi="微软雅黑" w:eastAsia="微软雅黑"/>
          <w:color w:val="5A5F73"/>
          <w:sz w:val="21"/>
        </w:rPr>
        <w:t>彩虹之眼 · RAINBOW EYE</w:t>
        <w:br/>
        <w:t>品牌全案交付物 · 2026</w:t>
      </w:r>
    </w:p>
    <w:p>
      <w:r>
        <w:br w:type="page"/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2D7FF9"/>
          <w:sz w:val="32"/>
        </w:rPr>
        <w:t>▍</w:t>
      </w:r>
      <w:r>
        <w:rPr>
          <w:rFonts w:ascii="微软雅黑" w:hAnsi="微软雅黑" w:eastAsia="微软雅黑"/>
          <w:b/>
          <w:color w:val="1F2233"/>
          <w:sz w:val="36"/>
        </w:rPr>
        <w:t>第一章 品牌治理架构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86"/>
        <w:gridCol w:w="1586"/>
        <w:gridCol w:w="1586"/>
        <w:gridCol w:w="1586"/>
        <w:gridCol w:w="1586"/>
        <w:gridCol w:w="1586"/>
      </w:tblGrid>
      <w:tr>
        <w:trPr>
          <w:trHeight w:val="68" w:hRule="exact"/>
        </w:trPr>
        <w:tc>
          <w:tcPr>
            <w:tcW w:type="dxa" w:w="794"/>
            <w:shd w:val="clear" w:color="auto" w:fill="7C5CFC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2D7FF9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19C3D6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22C55E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F5A623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FF6B6B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color="auto" w:fill="2D7FF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4759"/>
            <w:shd w:val="clear" w:color="auto" w:fill="2D7FF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职责</w:t>
            </w:r>
          </w:p>
        </w:tc>
      </w:tr>
      <w:tr>
        <w:tc>
          <w:tcPr>
            <w:tcW w:type="dxa" w:w="475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品牌负责人</w:t>
            </w:r>
          </w:p>
        </w:tc>
        <w:tc>
          <w:tcPr>
            <w:tcW w:type="dxa" w:w="475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品牌战略、定位与对外一致性最终决策</w:t>
            </w:r>
          </w:p>
        </w:tc>
      </w:tr>
      <w:tr>
        <w:tc>
          <w:tcPr>
            <w:tcW w:type="dxa" w:w="475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2F4FA"/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品牌运营</w:t>
            </w:r>
          </w:p>
        </w:tc>
        <w:tc>
          <w:tcPr>
            <w:tcW w:type="dxa" w:w="475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2F4FA"/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VI/ToV 执行、物料审核、资产库维护</w:t>
            </w:r>
          </w:p>
        </w:tc>
      </w:tr>
      <w:tr>
        <w:tc>
          <w:tcPr>
            <w:tcW w:type="dxa" w:w="475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内容团队</w:t>
            </w:r>
          </w:p>
        </w:tc>
        <w:tc>
          <w:tcPr>
            <w:tcW w:type="dxa" w:w="475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按三层解释生产，遵守语调与词典</w:t>
            </w:r>
          </w:p>
        </w:tc>
      </w:tr>
      <w:tr>
        <w:tc>
          <w:tcPr>
            <w:tcW w:type="dxa" w:w="475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2F4FA"/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外部合作方</w:t>
            </w:r>
          </w:p>
        </w:tc>
        <w:tc>
          <w:tcPr>
            <w:tcW w:type="dxa" w:w="475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2F4FA"/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在审批框架内使用品牌资产</w:t>
            </w:r>
          </w:p>
        </w:tc>
      </w:tr>
    </w:tbl>
    <w:p>
      <w:pPr>
        <w:spacing w:after="40"/>
      </w:pPr>
    </w:p>
    <w:p>
      <w:pPr>
        <w:spacing w:before="320" w:after="120"/>
      </w:pPr>
      <w:r>
        <w:rPr>
          <w:rFonts w:ascii="微软雅黑" w:hAnsi="微软雅黑" w:eastAsia="微软雅黑"/>
          <w:b/>
          <w:color w:val="2D7FF9"/>
          <w:sz w:val="32"/>
        </w:rPr>
        <w:t>▍</w:t>
      </w:r>
      <w:r>
        <w:rPr>
          <w:rFonts w:ascii="微软雅黑" w:hAnsi="微软雅黑" w:eastAsia="微软雅黑"/>
          <w:b/>
          <w:color w:val="1F2233"/>
          <w:sz w:val="36"/>
        </w:rPr>
        <w:t>第二章 品牌资产管理规范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86"/>
        <w:gridCol w:w="1586"/>
        <w:gridCol w:w="1586"/>
        <w:gridCol w:w="1586"/>
        <w:gridCol w:w="1586"/>
        <w:gridCol w:w="1586"/>
      </w:tblGrid>
      <w:tr>
        <w:trPr>
          <w:trHeight w:val="68" w:hRule="exact"/>
        </w:trPr>
        <w:tc>
          <w:tcPr>
            <w:tcW w:type="dxa" w:w="794"/>
            <w:shd w:val="clear" w:color="auto" w:fill="7C5CFC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2D7FF9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19C3D6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22C55E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F5A623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FF6B6B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</w:tr>
    </w:tbl>
    <w:p>
      <w:pPr>
        <w:spacing w:after="40"/>
      </w:pPr>
    </w:p>
    <w:p>
      <w:pPr>
        <w:spacing w:before="200" w:after="60"/>
      </w:pPr>
      <w:r>
        <w:rPr>
          <w:rFonts w:ascii="微软雅黑" w:hAnsi="微软雅黑" w:eastAsia="微软雅黑"/>
          <w:b/>
          <w:color w:val="7C5CFC"/>
          <w:sz w:val="27"/>
        </w:rPr>
        <w:t>Logo 使用规范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F2233"/>
          <w:sz w:val="21"/>
        </w:rPr>
        <w:t>仅使用官方源文件，禁止重绘或改色。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F2233"/>
          <w:sz w:val="21"/>
        </w:rPr>
        <w:t>遵循最小尺寸与安全留白（见 VI 手册）。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F2233"/>
          <w:sz w:val="21"/>
        </w:rPr>
        <w:t>彩色标志优先；单色场景须使用审批过的单色版本。</w:t>
      </w:r>
    </w:p>
    <w:p>
      <w:pPr>
        <w:spacing w:before="200" w:after="60"/>
      </w:pPr>
      <w:r>
        <w:rPr>
          <w:rFonts w:ascii="微软雅黑" w:hAnsi="微软雅黑" w:eastAsia="微软雅黑"/>
          <w:b/>
          <w:color w:val="7C5CFC"/>
          <w:sz w:val="27"/>
        </w:rPr>
        <w:t>色彩与字体规范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F2233"/>
          <w:sz w:val="21"/>
        </w:rPr>
        <w:t>主色光谱蓝，辅助六色仅用于视觉识别，不滥用于正文。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F2233"/>
          <w:sz w:val="21"/>
        </w:rPr>
        <w:t>字体遵循 VI 手册层级，禁止艺术字变形。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F2233"/>
          <w:sz w:val="21"/>
        </w:rPr>
        <w:t>所有对外物料须包含品牌署名（Logo 或文字标）。</w:t>
      </w:r>
    </w:p>
    <w:p>
      <w:pPr>
        <w:spacing w:before="200" w:after="60"/>
      </w:pPr>
      <w:r>
        <w:rPr>
          <w:rFonts w:ascii="微软雅黑" w:hAnsi="微软雅黑" w:eastAsia="微软雅黑"/>
          <w:b/>
          <w:color w:val="7C5CFC"/>
          <w:sz w:val="27"/>
        </w:rPr>
        <w:t>禁例红线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518"/>
      </w:tblGrid>
      <w:tr>
        <w:tc>
          <w:tcPr>
            <w:tcW w:type="dxa" w:w="9518"/>
            <w:shd w:val="clear" w:color="auto" w:fill="F5F6FB"/>
            <w:tcMar>
              <w:top w:w="140" w:type="dxa"/>
              <w:bottom w:w="140" w:type="dxa"/>
              <w:start w:w="180" w:type="dxa"/>
              <w:end w:w="180" w:type="dxa"/>
              <w:left w:w="180" w:type="dxa"/>
              <w:right w:w="180" w:type="dxa"/>
            </w:tcMar>
          </w:tcPr>
          <w:p>
            <w:r>
              <w:rPr>
                <w:rFonts w:ascii="微软雅黑" w:hAnsi="微软雅黑" w:eastAsia="微软雅黑"/>
                <w:b/>
                <w:color w:val="FF6B6B"/>
                <w:sz w:val="21"/>
              </w:rPr>
              <w:t xml:space="preserve">硬性红线  </w:t>
            </w:r>
            <w:r>
              <w:rPr>
                <w:rFonts w:ascii="微软雅黑" w:hAnsi="微软雅黑" w:eastAsia="微软雅黑"/>
                <w:color w:val="1F2233"/>
                <w:sz w:val="21"/>
              </w:rPr>
              <w:t>禁止：标志变形/改色、六色失比、标志压人像、文字重叠不可读、未授权拆解 IP、使用非规范字体与夸大用语。</w:t>
            </w:r>
          </w:p>
        </w:tc>
      </w:tr>
    </w:tbl>
    <w:p>
      <w:pPr>
        <w:spacing w:after="80"/>
      </w:pPr>
    </w:p>
    <w:p>
      <w:pPr>
        <w:spacing w:before="320" w:after="120"/>
      </w:pPr>
      <w:r>
        <w:rPr>
          <w:rFonts w:ascii="微软雅黑" w:hAnsi="微软雅黑" w:eastAsia="微软雅黑"/>
          <w:b/>
          <w:color w:val="2D7FF9"/>
          <w:sz w:val="32"/>
        </w:rPr>
        <w:t>▍</w:t>
      </w:r>
      <w:r>
        <w:rPr>
          <w:rFonts w:ascii="微软雅黑" w:hAnsi="微软雅黑" w:eastAsia="微软雅黑"/>
          <w:b/>
          <w:color w:val="1F2233"/>
          <w:sz w:val="36"/>
        </w:rPr>
        <w:t>第三章 对外物料审批流程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86"/>
        <w:gridCol w:w="1586"/>
        <w:gridCol w:w="1586"/>
        <w:gridCol w:w="1586"/>
        <w:gridCol w:w="1586"/>
        <w:gridCol w:w="1586"/>
      </w:tblGrid>
      <w:tr>
        <w:trPr>
          <w:trHeight w:val="68" w:hRule="exact"/>
        </w:trPr>
        <w:tc>
          <w:tcPr>
            <w:tcW w:type="dxa" w:w="794"/>
            <w:shd w:val="clear" w:color="auto" w:fill="7C5CFC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2D7FF9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19C3D6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22C55E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F5A623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FF6B6B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</w:tr>
    </w:tbl>
    <w:p>
      <w:pPr>
        <w:spacing w:after="40"/>
      </w:pPr>
    </w:p>
    <w:p>
      <w:pPr>
        <w:spacing w:before="120" w:after="40"/>
      </w:pPr>
      <w:r>
        <w:rPr>
          <w:rFonts w:ascii="微软雅黑" w:hAnsi="微软雅黑" w:eastAsia="微软雅黑"/>
          <w:b/>
          <w:color w:val="1F2233"/>
          <w:sz w:val="23"/>
        </w:rPr>
        <w:t>五步审批</w:t>
      </w:r>
    </w:p>
    <w:p>
      <w:pPr>
        <w:pStyle w:val="ListNumber"/>
        <w:spacing w:after="40"/>
      </w:pPr>
      <w:r>
        <w:rPr>
          <w:rFonts w:ascii="微软雅黑" w:hAnsi="微软雅黑" w:eastAsia="微软雅黑"/>
          <w:color w:val="1F2233"/>
          <w:sz w:val="21"/>
        </w:rPr>
        <w:t>提交：发起方填写《品牌物料申请》，附设计稿与用途说明。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color w:val="1F2233"/>
          <w:sz w:val="21"/>
        </w:rPr>
        <w:t>初核：品牌运营核对 VI/ToV/词典合规。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color w:val="1F2233"/>
          <w:sz w:val="21"/>
        </w:rPr>
        <w:t>审批：品牌负责人终审（重大物料需负责人签字）。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color w:val="1F2233"/>
          <w:sz w:val="21"/>
        </w:rPr>
        <w:t>归档：通过稿入库，记录版本与责任人。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color w:val="1F2233"/>
          <w:sz w:val="21"/>
        </w:rPr>
        <w:t>复盘：按月统计违规与返工，优化模板。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2D7FF9"/>
          <w:sz w:val="32"/>
        </w:rPr>
        <w:t>▍</w:t>
      </w:r>
      <w:r>
        <w:rPr>
          <w:rFonts w:ascii="微软雅黑" w:hAnsi="微软雅黑" w:eastAsia="微软雅黑"/>
          <w:b/>
          <w:color w:val="1F2233"/>
          <w:sz w:val="36"/>
        </w:rPr>
        <w:t>第四章 合作方品牌露出规范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86"/>
        <w:gridCol w:w="1586"/>
        <w:gridCol w:w="1586"/>
        <w:gridCol w:w="1586"/>
        <w:gridCol w:w="1586"/>
        <w:gridCol w:w="1586"/>
      </w:tblGrid>
      <w:tr>
        <w:trPr>
          <w:trHeight w:val="68" w:hRule="exact"/>
        </w:trPr>
        <w:tc>
          <w:tcPr>
            <w:tcW w:type="dxa" w:w="794"/>
            <w:shd w:val="clear" w:color="auto" w:fill="7C5CFC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2D7FF9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19C3D6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22C55E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F5A623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FF6B6B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73"/>
        <w:gridCol w:w="3173"/>
        <w:gridCol w:w="3173"/>
      </w:tblGrid>
      <w:tr>
        <w:tc>
          <w:tcPr>
            <w:tcW w:type="dxa" w:w="3173"/>
            <w:tcMar>
              <w:top w:w="140" w:type="dxa"/>
              <w:bottom w:w="140" w:type="dxa"/>
              <w:start w:w="140" w:type="dxa"/>
              <w:end w:w="14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after="60" w:before="0"/>
              <w:shd w:val="clear" w:color="auto" w:fill="2D7FF9"/>
            </w:pPr>
            <w:r>
              <w:rPr>
                <w:sz w:val="12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color w:val="2D7FF9"/>
                <w:sz w:val="23"/>
              </w:rPr>
              <w:t>联合品牌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color w:val="1F2233"/>
                <w:sz w:val="19"/>
              </w:rPr>
              <w:t>主次要分明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color w:val="1F2233"/>
                <w:sz w:val="19"/>
              </w:rPr>
              <w:t>彩虹之眼不弱于合作方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color w:val="1F2233"/>
                <w:sz w:val="19"/>
              </w:rPr>
              <w:t>需书面授权</w:t>
            </w:r>
          </w:p>
        </w:tc>
        <w:tc>
          <w:tcPr>
            <w:tcW w:type="dxa" w:w="3173"/>
            <w:tcMar>
              <w:top w:w="140" w:type="dxa"/>
              <w:bottom w:w="140" w:type="dxa"/>
              <w:start w:w="140" w:type="dxa"/>
              <w:end w:w="14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after="60" w:before="0"/>
              <w:shd w:val="clear" w:color="auto" w:fill="22C55E"/>
            </w:pPr>
            <w:r>
              <w:rPr>
                <w:sz w:val="12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color w:val="22C55E"/>
                <w:sz w:val="23"/>
              </w:rPr>
              <w:t>赞助/活动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color w:val="1F2233"/>
                <w:sz w:val="19"/>
              </w:rPr>
              <w:t>Logo 尺寸受限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color w:val="1F2233"/>
                <w:sz w:val="19"/>
              </w:rPr>
              <w:t>禁改色变形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color w:val="1F2233"/>
                <w:sz w:val="19"/>
              </w:rPr>
              <w:t>背景需留白</w:t>
            </w:r>
          </w:p>
        </w:tc>
        <w:tc>
          <w:tcPr>
            <w:tcW w:type="dxa" w:w="3173"/>
            <w:tcMar>
              <w:top w:w="140" w:type="dxa"/>
              <w:bottom w:w="140" w:type="dxa"/>
              <w:start w:w="140" w:type="dxa"/>
              <w:end w:w="14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after="60" w:before="0"/>
              <w:shd w:val="clear" w:color="auto" w:fill="FF6B6B"/>
            </w:pPr>
            <w:r>
              <w:rPr>
                <w:sz w:val="12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color w:val="FF6B6B"/>
                <w:sz w:val="23"/>
              </w:rPr>
              <w:t>内容转载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color w:val="1F2233"/>
                <w:sz w:val="19"/>
              </w:rPr>
              <w:t>保留署名与来源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color w:val="1F2233"/>
                <w:sz w:val="19"/>
              </w:rPr>
              <w:t>禁篡改原意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color w:val="1F2233"/>
                <w:sz w:val="19"/>
              </w:rPr>
              <w:t>禁去标识</w:t>
            </w:r>
          </w:p>
        </w:tc>
      </w:tr>
    </w:tbl>
    <w:p>
      <w:pPr>
        <w:spacing w:after="120"/>
      </w:pPr>
    </w:p>
    <w:p>
      <w:pPr>
        <w:spacing w:before="320" w:after="120"/>
      </w:pPr>
      <w:r>
        <w:rPr>
          <w:rFonts w:ascii="微软雅黑" w:hAnsi="微软雅黑" w:eastAsia="微软雅黑"/>
          <w:b/>
          <w:color w:val="2D7FF9"/>
          <w:sz w:val="32"/>
        </w:rPr>
        <w:t>▍</w:t>
      </w:r>
      <w:r>
        <w:rPr>
          <w:rFonts w:ascii="微软雅黑" w:hAnsi="微软雅黑" w:eastAsia="微软雅黑"/>
          <w:b/>
          <w:color w:val="1F2233"/>
          <w:sz w:val="36"/>
        </w:rPr>
        <w:t>第五章 数字化资产库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86"/>
        <w:gridCol w:w="1586"/>
        <w:gridCol w:w="1586"/>
        <w:gridCol w:w="1586"/>
        <w:gridCol w:w="1586"/>
        <w:gridCol w:w="1586"/>
      </w:tblGrid>
      <w:tr>
        <w:trPr>
          <w:trHeight w:val="68" w:hRule="exact"/>
        </w:trPr>
        <w:tc>
          <w:tcPr>
            <w:tcW w:type="dxa" w:w="794"/>
            <w:shd w:val="clear" w:color="auto" w:fill="7C5CFC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2D7FF9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19C3D6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22C55E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F5A623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FF6B6B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rFonts w:ascii="微软雅黑" w:hAnsi="微软雅黑" w:eastAsia="微软雅黑"/>
          <w:color w:val="1F2233"/>
          <w:sz w:val="21"/>
        </w:rPr>
        <w:t>建立统一品牌资产库：Logo 源文件、VI 手册、ToV 指南、模板、案例。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F2233"/>
          <w:sz w:val="21"/>
        </w:rPr>
        <w:t>按版本管理，旧版标记「归档」不得新用。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F2233"/>
          <w:sz w:val="21"/>
        </w:rPr>
        <w:t>权限分级：内部可下载，外部仅限授权范围。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2D7FF9"/>
          <w:sz w:val="32"/>
        </w:rPr>
        <w:t>▍</w:t>
      </w:r>
      <w:r>
        <w:rPr>
          <w:rFonts w:ascii="微软雅黑" w:hAnsi="微软雅黑" w:eastAsia="微软雅黑"/>
          <w:b/>
          <w:color w:val="1F2233"/>
          <w:sz w:val="36"/>
        </w:rPr>
        <w:t>第六章 版本与更新机制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86"/>
        <w:gridCol w:w="1586"/>
        <w:gridCol w:w="1586"/>
        <w:gridCol w:w="1586"/>
        <w:gridCol w:w="1586"/>
        <w:gridCol w:w="1586"/>
      </w:tblGrid>
      <w:tr>
        <w:trPr>
          <w:trHeight w:val="68" w:hRule="exact"/>
        </w:trPr>
        <w:tc>
          <w:tcPr>
            <w:tcW w:type="dxa" w:w="794"/>
            <w:shd w:val="clear" w:color="auto" w:fill="7C5CFC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2D7FF9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19C3D6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22C55E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F5A623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FF6B6B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7C5CFC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文档</w:t>
            </w:r>
          </w:p>
        </w:tc>
        <w:tc>
          <w:tcPr>
            <w:tcW w:type="dxa" w:w="3173"/>
            <w:shd w:val="clear" w:color="auto" w:fill="7C5CFC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3173"/>
            <w:shd w:val="clear" w:color="auto" w:fill="7C5CFC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更新触发</w:t>
            </w:r>
          </w:p>
        </w:tc>
      </w:tr>
      <w:tr>
        <w:tc>
          <w:tcPr>
            <w:tcW w:type="dxa" w:w="3173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VI 手册</w:t>
            </w:r>
          </w:p>
        </w:tc>
        <w:tc>
          <w:tcPr>
            <w:tcW w:type="dxa" w:w="3173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v1.0</w:t>
            </w:r>
          </w:p>
        </w:tc>
        <w:tc>
          <w:tcPr>
            <w:tcW w:type="dxa" w:w="3173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视觉重大调整时</w:t>
            </w:r>
          </w:p>
        </w:tc>
      </w:tr>
      <w:tr>
        <w:tc>
          <w:tcPr>
            <w:tcW w:type="dxa" w:w="3173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2F4FA"/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品牌语调指南</w:t>
            </w:r>
          </w:p>
        </w:tc>
        <w:tc>
          <w:tcPr>
            <w:tcW w:type="dxa" w:w="3173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2F4FA"/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v1.0</w:t>
            </w:r>
          </w:p>
        </w:tc>
        <w:tc>
          <w:tcPr>
            <w:tcW w:type="dxa" w:w="3173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2F4FA"/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语调策略调整时</w:t>
            </w:r>
          </w:p>
        </w:tc>
      </w:tr>
      <w:tr>
        <w:tc>
          <w:tcPr>
            <w:tcW w:type="dxa" w:w="3173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品牌管理手册</w:t>
            </w:r>
          </w:p>
        </w:tc>
        <w:tc>
          <w:tcPr>
            <w:tcW w:type="dxa" w:w="3173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v1.0</w:t>
            </w:r>
          </w:p>
        </w:tc>
        <w:tc>
          <w:tcPr>
            <w:tcW w:type="dxa" w:w="3173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治理架构/流程变更时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color w:val="5A5F73"/>
          <w:sz w:val="21"/>
        </w:rPr>
        <w:t>所有更新须经品牌负责人批准，并在资产库发布变更说明。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2D7FF9"/>
          <w:sz w:val="32"/>
        </w:rPr>
        <w:t>▍</w:t>
      </w:r>
      <w:r>
        <w:rPr>
          <w:rFonts w:ascii="微软雅黑" w:hAnsi="微软雅黑" w:eastAsia="微软雅黑"/>
          <w:b/>
          <w:color w:val="1F2233"/>
          <w:sz w:val="36"/>
        </w:rPr>
        <w:t>第七章 违规处理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86"/>
        <w:gridCol w:w="1586"/>
        <w:gridCol w:w="1586"/>
        <w:gridCol w:w="1586"/>
        <w:gridCol w:w="1586"/>
        <w:gridCol w:w="1586"/>
      </w:tblGrid>
      <w:tr>
        <w:trPr>
          <w:trHeight w:val="68" w:hRule="exact"/>
        </w:trPr>
        <w:tc>
          <w:tcPr>
            <w:tcW w:type="dxa" w:w="794"/>
            <w:shd w:val="clear" w:color="auto" w:fill="7C5CFC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2D7FF9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19C3D6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22C55E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F5A623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FF6B6B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rFonts w:ascii="微软雅黑" w:hAnsi="微软雅黑" w:eastAsia="微软雅黑"/>
          <w:color w:val="1F2233"/>
          <w:sz w:val="21"/>
        </w:rPr>
        <w:t>轻微：提醒并限期整改。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F2233"/>
          <w:sz w:val="21"/>
        </w:rPr>
        <w:t>一般：下架物料、重写并重新审批。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F2233"/>
          <w:sz w:val="21"/>
        </w:rPr>
        <w:t>严重（如篡改标识、虚假宣传）：追责、终止合作、对外澄清。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518"/>
      </w:tblGrid>
      <w:tr>
        <w:tc>
          <w:tcPr>
            <w:tcW w:type="dxa" w:w="9518"/>
            <w:shd w:val="clear" w:color="auto" w:fill="F5F6FB"/>
            <w:tcMar>
              <w:top w:w="140" w:type="dxa"/>
              <w:bottom w:w="140" w:type="dxa"/>
              <w:start w:w="180" w:type="dxa"/>
              <w:end w:w="180" w:type="dxa"/>
              <w:left w:w="180" w:type="dxa"/>
              <w:right w:w="180" w:type="dxa"/>
            </w:tcMar>
          </w:tcPr>
          <w:p>
            <w:r>
              <w:rPr>
                <w:rFonts w:ascii="微软雅黑" w:hAnsi="微软雅黑" w:eastAsia="微软雅黑"/>
                <w:b/>
                <w:color w:val="2D7FF9"/>
                <w:sz w:val="21"/>
              </w:rPr>
              <w:t xml:space="preserve">总原则  </w:t>
            </w:r>
            <w:r>
              <w:rPr>
                <w:rFonts w:ascii="微软雅黑" w:hAnsi="微软雅黑" w:eastAsia="微软雅黑"/>
                <w:color w:val="1F2233"/>
                <w:sz w:val="21"/>
              </w:rPr>
              <w:t>品牌手册是「宪法」。让每个接触品牌的人，用同一套标准说话——这是品牌资产不被稀释的唯一方式。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2240" w:h="15840"/>
      <w:pgMar w:top="1361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5A5F73"/>
        <w:sz w:val="16"/>
      </w:rPr>
      <w:t xml:space="preserve">彩虹之眼 · 品牌管理手册    |    第 </w:t>
    </w:r>
    <w:r>
      <w:rPr>
        <w:rFonts w:ascii="微软雅黑" w:hAnsi="微软雅黑" w:eastAsia="微软雅黑"/>
      </w:rPr>
      <w:fldChar w:fldCharType="begin"/>
      <w:instrText xml:space="preserve">PAGE</w:instrText>
      <w:fldChar w:fldCharType="end"/>
    </w:r>
    <w:r>
      <w:rPr>
        <w:rFonts w:ascii="微软雅黑" w:hAnsi="微软雅黑" w:eastAsia="微软雅黑"/>
        <w:color w:val="5A5F73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微软雅黑" w:hAnsi="微软雅黑"/>
      <w:color w:val="1F2233"/>
      <w:sz w:val="21"/>
    </w:rPr>
    <w:rFonts w:eastAsia="微软雅黑" w:ascii="微软雅黑" w:hAnsi="微软雅黑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