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555555"/>
        </w:rPr>
        <w:t xml:space="preserve">Prepared from the operations export and the 2026-09-30 decision</w:t>
      </w:r>
    </w:p>
    <w:p>
      <w:pPr>
        <w:pStyle w:val="Heading1"/>
      </w:pPr>
      <w:r>
        <w:t xml:space="preserve">Decision</w:t>
      </w:r>
    </w:p>
    <w:p>
      <w:r>
        <w:t xml:space="preserve">The steering group approved a two-week follow-up pilot, not a full rollout.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1"/>
        </w:numPr>
      </w:pPr>
      <w:r>
        <w:t xml:space="preserve">Request volume rose from 80 to 100 per day (+25%).</w:t>
      </w:r>
    </w:p>
    <w:p>
      <w:pPr>
        <w:pStyle w:val="ListParagraph"/>
        <w:numPr>
          <w:ilvl w:val="0"/>
          <w:numId w:val="1"/>
        </w:numPr>
      </w:pPr>
      <w:r>
        <w:t xml:space="preserve">Median response time fell from 12 to 9 hours (−25%).</w:t>
      </w:r>
    </w:p>
    <w:p>
      <w:pPr>
        <w:pStyle w:val="ListParagraph"/>
        <w:numPr>
          <w:ilvl w:val="0"/>
          <w:numId w:val="1"/>
        </w:numPr>
      </w:pPr>
      <w:r>
        <w:t xml:space="preserve">Error rate rose from 2% (8 of 400) to 3% (15 of 500).</w:t>
      </w:r>
    </w:p>
    <w:p>
      <w:pPr>
        <w:pStyle w:val="Heading1"/>
      </w:pPr>
      <w:r>
        <w:t xml:space="preserve">Risks</w:t>
      </w:r>
    </w:p>
    <w:p>
      <w:r>
        <w:t xml:space="preserve">The comparison is observational: there was no random allocation and the customer mix differs, so the improvement is not causal evidence. The error rate rose.</w:t>
      </w:r>
    </w:p>
    <w:p>
      <w:pPr>
        <w:pStyle w:val="Heading1"/>
      </w:pPr>
      <w:r>
        <w:t xml:space="preserve">Next steps</w:t>
      </w:r>
    </w:p>
    <w:p>
      <w:r>
        <w:rPr>
          <w:b/>
          <w:bCs/>
        </w:rPr>
        <w:t xml:space="preserve">Ownership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1F1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shd w:fill="F1F1F1"/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shd w:fill="F1F1F1"/>
          </w:tcPr>
          <w:p>
            <w:r>
              <w:rPr>
                <w:b/>
                <w:bCs/>
              </w:rPr>
              <w:t xml:space="preserve">Final review</w:t>
            </w:r>
          </w:p>
        </w:tc>
      </w:tr>
      <w:tr>
        <w:tc>
          <w:p>
            <w:r>
              <w:t xml:space="preserve">Maya Okafor</w:t>
            </w:r>
          </w:p>
        </w:tc>
        <w:tc>
          <w:p>
            <w:r>
              <w:t xml:space="preserve">EUR 2,400</w:t>
            </w:r>
          </w:p>
        </w:tc>
        <w:tc>
          <w:p>
            <w:r>
              <w:t xml:space="preserve">2026-10-19</w:t>
            </w:r>
          </w:p>
        </w:tc>
      </w:tr>
    </w:tbl>
    <w:p/>
    <w:p>
      <w:r>
        <w:t xml:space="preserve">Stop the follow-up pilot if the error rate exceeds 4 percent.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follow-up pilot — decision memo</dc:title>
  <dc:creator>Un-named</dc:creator>
  <dc:description>Prepared from the operations export and the 2026-09-30 decision</dc:description>
  <cp:lastModifiedBy>Un-named</cp:lastModifiedBy>
  <cp:revision>1</cp:revision>
  <dcterms:created xsi:type="dcterms:W3CDTF">2026-10-26T00:26:07.203Z</dcterms:created>
  <dcterms:modified xsi:type="dcterms:W3CDTF">2026-10-26T00:26:07.203Z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