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Meridian pilot — FAQ</w:t>
      </w:r>
    </w:p>
    <w:p>
      <w:pPr>
        <w:pStyle w:val="Heading2"/>
      </w:pPr>
      <w:r>
        <w:t xml:space="preserve">What did the pilot measure?</w:t>
      </w:r>
    </w:p>
    <w:p>
      <w:r>
        <w:t xml:space="preserve">Requests rose from 80 to 100 per day (+25%) and the median response time fell from 12 to 9 hours.</w:t>
      </w:r>
    </w:p>
    <w:p>
      <w:pPr>
        <w:pStyle w:val="Heading2"/>
      </w:pPr>
      <w:r>
        <w:t xml:space="preserve">Did errors change?</w:t>
      </w:r>
    </w:p>
    <w:p>
      <w:r>
        <w:t xml:space="preserve">Yes. The error rate went from 2% (8 of 400) to 3% (15 of 500).</w:t>
      </w:r>
    </w:p>
    <w:p>
      <w:pPr>
        <w:pStyle w:val="Heading2"/>
      </w:pPr>
      <w:r>
        <w:t xml:space="preserve">Was a full rollout approved?</w:t>
      </w:r>
    </w:p>
    <w:p>
      <w:r>
        <w:t xml:space="preserve">No. A two-week follow-up pilot was approved, owned by Maya Okafor, with a budget of EUR 2,400.</w:t>
      </w:r>
    </w:p>
    <w:p>
      <w:pPr>
        <w:pStyle w:val="Heading2"/>
      </w:pPr>
      <w:r>
        <w:t xml:space="preserve">When does the follow-up stop?</w:t>
      </w:r>
    </w:p>
    <w:p>
      <w:r>
        <w:t xml:space="preserve">If the error rate exceeds 4 percent. The final review is on 2026-10-19.</w:t>
      </w:r>
    </w:p>
    <w:p>
      <w:pPr>
        <w:pStyle w:val="Heading2"/>
      </w:pPr>
      <w:r>
        <w:t xml:space="preserve">Is the improvement causal?</w:t>
      </w:r>
    </w:p>
    <w:p>
      <w:r>
        <w:t xml:space="preserve">No. There was no random allocation and the groups differ.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pilot — FAQ</dc:title>
  <dc:creator>Un-named</dc:creator>
  <cp:lastModifiedBy>Un-named</cp:lastModifiedBy>
  <cp:revision>1</cp:revision>
  <dcterms:created xsi:type="dcterms:W3CDTF">2026-10-25T20:11:00.573Z</dcterms:created>
  <dcterms:modified xsi:type="dcterms:W3CDTF">2026-10-25T20:11:00.573Z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