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BD117" w14:textId="77777777" w:rsidR="00C637A7" w:rsidRDefault="00C637A7" w:rsidP="00C637A7">
      <w:pPr>
        <w:rPr>
          <w:lang w:val="en-US"/>
        </w:rPr>
      </w:pPr>
      <w:r>
        <w:rPr>
          <w:b/>
          <w:bCs/>
          <w:lang w:val="en-US"/>
        </w:rPr>
        <w:t>New Housing Intake Case</w:t>
      </w:r>
    </w:p>
    <w:p w14:paraId="41811155" w14:textId="77777777" w:rsidR="00C637A7" w:rsidRDefault="00C637A7" w:rsidP="00C637A7">
      <w:pPr>
        <w:rPr>
          <w:sz w:val="22"/>
          <w:szCs w:val="22"/>
          <w:lang w:val="en-US"/>
        </w:rPr>
      </w:pPr>
      <w:r>
        <w:rPr>
          <w:sz w:val="22"/>
          <w:szCs w:val="22"/>
          <w:lang w:val="en-US"/>
        </w:rPr>
        <w:t xml:space="preserve">Once Central intake </w:t>
      </w:r>
      <w:proofErr w:type="gramStart"/>
      <w:r>
        <w:rPr>
          <w:sz w:val="22"/>
          <w:szCs w:val="22"/>
          <w:lang w:val="en-US"/>
        </w:rPr>
        <w:t>has processed</w:t>
      </w:r>
      <w:proofErr w:type="gramEnd"/>
      <w:r>
        <w:rPr>
          <w:sz w:val="22"/>
          <w:szCs w:val="22"/>
          <w:lang w:val="en-US"/>
        </w:rPr>
        <w:t xml:space="preserve"> a client and determined that they need housing assistance (either RCV or H4H), the intake officer creates a housing support item and assigns it to the Housing Intake queue.</w:t>
      </w:r>
    </w:p>
    <w:p w14:paraId="0F82C9A4" w14:textId="77777777" w:rsidR="00C637A7" w:rsidRDefault="00C637A7" w:rsidP="00C637A7">
      <w:pPr>
        <w:rPr>
          <w:sz w:val="22"/>
          <w:szCs w:val="22"/>
          <w:lang w:val="en-US"/>
        </w:rPr>
      </w:pPr>
      <w:r w:rsidRPr="00A93F5D">
        <w:rPr>
          <w:sz w:val="22"/>
          <w:szCs w:val="22"/>
          <w:lang w:val="en-US"/>
        </w:rPr>
        <w:t>At this point</w:t>
      </w:r>
      <w:r>
        <w:rPr>
          <w:sz w:val="22"/>
          <w:szCs w:val="22"/>
          <w:lang w:val="en-US"/>
        </w:rPr>
        <w:t xml:space="preserve"> </w:t>
      </w:r>
      <w:proofErr w:type="gramStart"/>
      <w:r>
        <w:rPr>
          <w:sz w:val="22"/>
          <w:szCs w:val="22"/>
          <w:lang w:val="en-US"/>
        </w:rPr>
        <w:t>the case</w:t>
      </w:r>
      <w:proofErr w:type="gramEnd"/>
      <w:r>
        <w:rPr>
          <w:sz w:val="22"/>
          <w:szCs w:val="22"/>
          <w:lang w:val="en-US"/>
        </w:rPr>
        <w:t xml:space="preserve"> managers of the housing team can view this queue and pick the support item. They will then update the item status to ‘In-Progress’.</w:t>
      </w:r>
    </w:p>
    <w:p w14:paraId="277E514D" w14:textId="77777777" w:rsidR="00C637A7" w:rsidRDefault="00C637A7" w:rsidP="00C637A7">
      <w:pPr>
        <w:rPr>
          <w:sz w:val="22"/>
          <w:szCs w:val="22"/>
          <w:lang w:val="en-US"/>
        </w:rPr>
      </w:pPr>
      <w:r>
        <w:rPr>
          <w:b/>
          <w:bCs/>
          <w:sz w:val="22"/>
          <w:szCs w:val="22"/>
          <w:lang w:val="en-US"/>
        </w:rPr>
        <w:t>Determine Type of Housing Assistance</w:t>
      </w:r>
    </w:p>
    <w:p w14:paraId="3401BDB5" w14:textId="77777777" w:rsidR="00C637A7" w:rsidRDefault="00C637A7" w:rsidP="00C637A7">
      <w:pPr>
        <w:rPr>
          <w:sz w:val="22"/>
          <w:szCs w:val="22"/>
          <w:lang w:val="en-US"/>
        </w:rPr>
      </w:pPr>
      <w:r>
        <w:rPr>
          <w:sz w:val="22"/>
          <w:szCs w:val="22"/>
          <w:lang w:val="en-US"/>
        </w:rPr>
        <w:t>Once a support item has been picked, the case manager must assess whether the client is better suited to RCV, H4H or Pre-entry. To do this:</w:t>
      </w:r>
    </w:p>
    <w:p w14:paraId="41D78E36" w14:textId="77777777" w:rsidR="00C637A7" w:rsidRDefault="00C637A7" w:rsidP="00C637A7">
      <w:pPr>
        <w:pStyle w:val="ListParagraph"/>
        <w:numPr>
          <w:ilvl w:val="0"/>
          <w:numId w:val="2"/>
        </w:numPr>
        <w:rPr>
          <w:sz w:val="22"/>
          <w:szCs w:val="22"/>
          <w:lang w:val="en-US"/>
        </w:rPr>
      </w:pPr>
      <w:r w:rsidRPr="00547B1F">
        <w:rPr>
          <w:sz w:val="22"/>
          <w:szCs w:val="22"/>
          <w:lang w:val="en-US"/>
        </w:rPr>
        <w:t>go to the Assessments tab of the housing support item</w:t>
      </w:r>
    </w:p>
    <w:p w14:paraId="05779612" w14:textId="77777777" w:rsidR="00C637A7" w:rsidRDefault="00C637A7" w:rsidP="00C637A7">
      <w:pPr>
        <w:pStyle w:val="ListParagraph"/>
        <w:numPr>
          <w:ilvl w:val="0"/>
          <w:numId w:val="2"/>
        </w:numPr>
        <w:rPr>
          <w:sz w:val="22"/>
          <w:szCs w:val="22"/>
          <w:lang w:val="en-US"/>
        </w:rPr>
      </w:pPr>
      <w:r>
        <w:rPr>
          <w:sz w:val="22"/>
          <w:szCs w:val="22"/>
          <w:lang w:val="en-US"/>
        </w:rPr>
        <w:t>Click ‘New Assessment’</w:t>
      </w:r>
    </w:p>
    <w:p w14:paraId="57C4EBF5" w14:textId="77777777" w:rsidR="00C637A7" w:rsidRDefault="00C637A7" w:rsidP="00C637A7">
      <w:pPr>
        <w:pStyle w:val="ListParagraph"/>
        <w:numPr>
          <w:ilvl w:val="0"/>
          <w:numId w:val="2"/>
        </w:numPr>
        <w:rPr>
          <w:sz w:val="22"/>
          <w:szCs w:val="22"/>
          <w:lang w:val="en-US"/>
        </w:rPr>
      </w:pPr>
      <w:r>
        <w:rPr>
          <w:sz w:val="22"/>
          <w:szCs w:val="22"/>
          <w:lang w:val="en-US"/>
        </w:rPr>
        <w:t xml:space="preserve">Set the ‘Assessment’ field below the title, ‘Type’ dropdown, </w:t>
      </w:r>
      <w:proofErr w:type="gramStart"/>
      <w:r>
        <w:rPr>
          <w:sz w:val="22"/>
          <w:szCs w:val="22"/>
          <w:lang w:val="en-US"/>
        </w:rPr>
        <w:t>and  ‘</w:t>
      </w:r>
      <w:proofErr w:type="gramEnd"/>
      <w:r>
        <w:rPr>
          <w:sz w:val="22"/>
          <w:szCs w:val="22"/>
          <w:lang w:val="en-US"/>
        </w:rPr>
        <w:t>Assessment Type’ field in the ‘General’ tab all to RCV and Social Housing Assessment Form</w:t>
      </w:r>
    </w:p>
    <w:p w14:paraId="389CF16B" w14:textId="77777777" w:rsidR="00C637A7" w:rsidRDefault="00C637A7" w:rsidP="00C637A7">
      <w:pPr>
        <w:pStyle w:val="ListParagraph"/>
        <w:numPr>
          <w:ilvl w:val="0"/>
          <w:numId w:val="2"/>
        </w:numPr>
        <w:rPr>
          <w:sz w:val="22"/>
          <w:szCs w:val="22"/>
          <w:lang w:val="en-US"/>
        </w:rPr>
      </w:pPr>
      <w:r>
        <w:rPr>
          <w:sz w:val="22"/>
          <w:szCs w:val="22"/>
          <w:lang w:val="en-US"/>
        </w:rPr>
        <w:t xml:space="preserve">Set an appointment with the client and set the ‘Date </w:t>
      </w:r>
      <w:proofErr w:type="gramStart"/>
      <w:r>
        <w:rPr>
          <w:sz w:val="22"/>
          <w:szCs w:val="22"/>
          <w:lang w:val="en-US"/>
        </w:rPr>
        <w:t>Of</w:t>
      </w:r>
      <w:proofErr w:type="gramEnd"/>
      <w:r>
        <w:rPr>
          <w:sz w:val="22"/>
          <w:szCs w:val="22"/>
          <w:lang w:val="en-US"/>
        </w:rPr>
        <w:t xml:space="preserve"> Appointment’ field to the correct date</w:t>
      </w:r>
    </w:p>
    <w:p w14:paraId="77E6606C" w14:textId="77777777" w:rsidR="00C637A7" w:rsidRPr="00547B1F" w:rsidRDefault="00C637A7" w:rsidP="00C637A7">
      <w:pPr>
        <w:pStyle w:val="ListParagraph"/>
        <w:numPr>
          <w:ilvl w:val="0"/>
          <w:numId w:val="2"/>
        </w:numPr>
        <w:rPr>
          <w:sz w:val="22"/>
          <w:szCs w:val="22"/>
          <w:lang w:val="en-US"/>
        </w:rPr>
      </w:pPr>
      <w:r>
        <w:rPr>
          <w:sz w:val="22"/>
          <w:szCs w:val="22"/>
          <w:lang w:val="en-US"/>
        </w:rPr>
        <w:t>Fill out the information in the ‘RCV Assessment Questions’ tab during your appointment with the client</w:t>
      </w:r>
    </w:p>
    <w:p w14:paraId="5C0E052C" w14:textId="77777777" w:rsidR="00C637A7" w:rsidRDefault="00C637A7" w:rsidP="00C637A7">
      <w:pPr>
        <w:rPr>
          <w:sz w:val="22"/>
          <w:szCs w:val="22"/>
          <w:lang w:val="en-US"/>
        </w:rPr>
      </w:pPr>
      <w:r>
        <w:rPr>
          <w:sz w:val="22"/>
          <w:szCs w:val="22"/>
          <w:lang w:val="en-US"/>
        </w:rPr>
        <w:t xml:space="preserve"> Once this assessment is complete, </w:t>
      </w:r>
      <w:r w:rsidRPr="00C54595">
        <w:rPr>
          <w:sz w:val="22"/>
          <w:szCs w:val="22"/>
          <w:lang w:val="en-US"/>
        </w:rPr>
        <w:t xml:space="preserve">the </w:t>
      </w:r>
      <w:r>
        <w:rPr>
          <w:sz w:val="22"/>
          <w:szCs w:val="22"/>
          <w:lang w:val="en-US"/>
        </w:rPr>
        <w:t>case manager</w:t>
      </w:r>
      <w:r w:rsidRPr="00C54595">
        <w:rPr>
          <w:sz w:val="22"/>
          <w:szCs w:val="22"/>
          <w:lang w:val="en-US"/>
        </w:rPr>
        <w:t xml:space="preserve"> will then create a case for either Homes for Heroes or RCV (Could potentially be automated)</w:t>
      </w:r>
      <w:r>
        <w:rPr>
          <w:sz w:val="22"/>
          <w:szCs w:val="22"/>
          <w:lang w:val="en-US"/>
        </w:rPr>
        <w:t>.</w:t>
      </w:r>
    </w:p>
    <w:p w14:paraId="6097427D" w14:textId="77777777" w:rsidR="0089257E" w:rsidRDefault="0089257E" w:rsidP="0089257E">
      <w:pPr>
        <w:rPr>
          <w:b/>
          <w:bCs/>
          <w:sz w:val="22"/>
          <w:szCs w:val="22"/>
          <w:lang w:val="en-US"/>
        </w:rPr>
      </w:pPr>
      <w:r>
        <w:rPr>
          <w:b/>
          <w:bCs/>
          <w:sz w:val="22"/>
          <w:szCs w:val="22"/>
          <w:lang w:val="en-US"/>
        </w:rPr>
        <w:t>Approving Cases (Homes for Heroes only)</w:t>
      </w:r>
    </w:p>
    <w:p w14:paraId="1BC14596" w14:textId="0A33C300" w:rsidR="0089257E" w:rsidRDefault="0089257E" w:rsidP="00C637A7">
      <w:pPr>
        <w:rPr>
          <w:sz w:val="22"/>
          <w:szCs w:val="22"/>
          <w:lang w:val="en-US"/>
        </w:rPr>
      </w:pPr>
      <w:r w:rsidRPr="0089257E">
        <w:rPr>
          <w:sz w:val="22"/>
          <w:szCs w:val="22"/>
          <w:lang w:val="en-US"/>
        </w:rPr>
        <w:t>First the case manager wi</w:t>
      </w:r>
      <w:r>
        <w:rPr>
          <w:sz w:val="22"/>
          <w:szCs w:val="22"/>
          <w:lang w:val="en-US"/>
        </w:rPr>
        <w:t>ll complete a H4H Comprehensive Assessment</w:t>
      </w:r>
      <w:r>
        <w:rPr>
          <w:sz w:val="22"/>
          <w:szCs w:val="22"/>
          <w:lang w:val="en-US"/>
        </w:rPr>
        <w:t>.</w:t>
      </w:r>
    </w:p>
    <w:p w14:paraId="20E93F3B" w14:textId="77777777" w:rsidR="00C637A7" w:rsidRDefault="00C637A7" w:rsidP="00C637A7">
      <w:pPr>
        <w:rPr>
          <w:sz w:val="22"/>
          <w:szCs w:val="22"/>
          <w:lang w:val="en-US"/>
        </w:rPr>
      </w:pPr>
      <w:r>
        <w:rPr>
          <w:sz w:val="22"/>
          <w:szCs w:val="22"/>
          <w:lang w:val="en-US"/>
        </w:rPr>
        <w:t>At this stage, for Homes for Heroes cases</w:t>
      </w:r>
      <w:r w:rsidRPr="00A9610E">
        <w:rPr>
          <w:sz w:val="22"/>
          <w:szCs w:val="22"/>
          <w:lang w:val="en-US"/>
        </w:rPr>
        <w:t xml:space="preserve"> </w:t>
      </w:r>
      <w:r>
        <w:rPr>
          <w:sz w:val="22"/>
          <w:szCs w:val="22"/>
          <w:lang w:val="en-US"/>
        </w:rPr>
        <w:t>the CASE MANAGER must then:</w:t>
      </w:r>
    </w:p>
    <w:p w14:paraId="2F2B7088" w14:textId="77777777" w:rsidR="00C637A7" w:rsidRDefault="00C637A7" w:rsidP="00C637A7">
      <w:pPr>
        <w:pStyle w:val="ListParagraph"/>
        <w:numPr>
          <w:ilvl w:val="0"/>
          <w:numId w:val="1"/>
        </w:numPr>
        <w:rPr>
          <w:sz w:val="22"/>
          <w:szCs w:val="22"/>
          <w:lang w:val="en-US"/>
        </w:rPr>
      </w:pPr>
      <w:r w:rsidRPr="007F6619">
        <w:rPr>
          <w:sz w:val="22"/>
          <w:szCs w:val="22"/>
          <w:lang w:val="en-US"/>
        </w:rPr>
        <w:t>open the</w:t>
      </w:r>
      <w:r>
        <w:rPr>
          <w:sz w:val="22"/>
          <w:szCs w:val="22"/>
          <w:lang w:val="en-US"/>
        </w:rPr>
        <w:t xml:space="preserve"> Case Approval tab</w:t>
      </w:r>
    </w:p>
    <w:p w14:paraId="3088F0CB" w14:textId="77777777" w:rsidR="00C637A7" w:rsidRDefault="00C637A7" w:rsidP="00C637A7">
      <w:pPr>
        <w:pStyle w:val="ListParagraph"/>
        <w:numPr>
          <w:ilvl w:val="0"/>
          <w:numId w:val="1"/>
        </w:numPr>
        <w:rPr>
          <w:sz w:val="22"/>
          <w:szCs w:val="22"/>
          <w:lang w:val="en-US"/>
        </w:rPr>
      </w:pPr>
      <w:r>
        <w:rPr>
          <w:sz w:val="22"/>
          <w:szCs w:val="22"/>
          <w:lang w:val="en-US"/>
        </w:rPr>
        <w:t xml:space="preserve">Set the ‘Approval </w:t>
      </w:r>
      <w:proofErr w:type="gramStart"/>
      <w:r>
        <w:rPr>
          <w:sz w:val="22"/>
          <w:szCs w:val="22"/>
          <w:lang w:val="en-US"/>
        </w:rPr>
        <w:t>From</w:t>
      </w:r>
      <w:proofErr w:type="gramEnd"/>
      <w:r>
        <w:rPr>
          <w:sz w:val="22"/>
          <w:szCs w:val="22"/>
          <w:lang w:val="en-US"/>
        </w:rPr>
        <w:t xml:space="preserve"> Team’ to Homes for Heroes</w:t>
      </w:r>
    </w:p>
    <w:p w14:paraId="108A57FE" w14:textId="77777777" w:rsidR="00C637A7" w:rsidRPr="00A9610E" w:rsidRDefault="00C637A7" w:rsidP="00C637A7">
      <w:pPr>
        <w:pStyle w:val="ListParagraph"/>
        <w:numPr>
          <w:ilvl w:val="0"/>
          <w:numId w:val="1"/>
        </w:numPr>
        <w:rPr>
          <w:sz w:val="22"/>
          <w:szCs w:val="22"/>
          <w:lang w:val="en-US"/>
        </w:rPr>
      </w:pPr>
      <w:r>
        <w:rPr>
          <w:sz w:val="22"/>
          <w:szCs w:val="22"/>
          <w:lang w:val="en-US"/>
        </w:rPr>
        <w:t>Set the ‘Send for Initial Case Approval’ to yes</w:t>
      </w:r>
    </w:p>
    <w:p w14:paraId="265E6040" w14:textId="77777777" w:rsidR="00C637A7" w:rsidRPr="00A93F5D" w:rsidRDefault="00C637A7" w:rsidP="00C637A7">
      <w:pPr>
        <w:rPr>
          <w:sz w:val="22"/>
          <w:szCs w:val="22"/>
          <w:lang w:val="en-US"/>
        </w:rPr>
      </w:pPr>
      <w:r>
        <w:rPr>
          <w:sz w:val="22"/>
          <w:szCs w:val="22"/>
          <w:lang w:val="en-US"/>
        </w:rPr>
        <w:t>The case manager then updates the support item type to either Homes for Heroes or RCV, then moves it into either the Housing Approvals queue (H4H case) or RCV and Social Housing queue (RCV)</w:t>
      </w:r>
    </w:p>
    <w:p w14:paraId="30A0F770" w14:textId="77777777" w:rsidR="00C637A7" w:rsidRDefault="00C637A7" w:rsidP="00C637A7">
      <w:pPr>
        <w:rPr>
          <w:sz w:val="22"/>
          <w:szCs w:val="22"/>
          <w:lang w:val="en-US"/>
        </w:rPr>
      </w:pPr>
      <w:r>
        <w:rPr>
          <w:sz w:val="22"/>
          <w:szCs w:val="22"/>
          <w:lang w:val="en-US"/>
        </w:rPr>
        <w:t xml:space="preserve">Once a housing case has been created for approval, the housing manager will be able to view the parent support item in the Housing Approvals queue. They then </w:t>
      </w:r>
      <w:proofErr w:type="gramStart"/>
      <w:r>
        <w:rPr>
          <w:sz w:val="22"/>
          <w:szCs w:val="22"/>
          <w:lang w:val="en-US"/>
        </w:rPr>
        <w:t>have to</w:t>
      </w:r>
      <w:proofErr w:type="gramEnd"/>
      <w:r>
        <w:rPr>
          <w:sz w:val="22"/>
          <w:szCs w:val="22"/>
          <w:lang w:val="en-US"/>
        </w:rPr>
        <w:t xml:space="preserve"> go into the Homes for Heroes case, open the Case Approvals tab, and approve/deny the case by setting ‘Initial Case Approved’ to Yes and setting the ‘Approved By’ field to themselves.</w:t>
      </w:r>
    </w:p>
    <w:p w14:paraId="2A415968" w14:textId="77777777" w:rsidR="00C637A7" w:rsidRDefault="00C637A7" w:rsidP="00C637A7">
      <w:pPr>
        <w:rPr>
          <w:sz w:val="22"/>
          <w:szCs w:val="22"/>
          <w:lang w:val="en-US"/>
        </w:rPr>
      </w:pPr>
      <w:r>
        <w:rPr>
          <w:sz w:val="22"/>
          <w:szCs w:val="22"/>
          <w:lang w:val="en-US"/>
        </w:rPr>
        <w:t>The Housing Manager will then allocate property in the case.</w:t>
      </w:r>
    </w:p>
    <w:p w14:paraId="0F0B9CFD" w14:textId="280FBCD4" w:rsidR="00B20A8D" w:rsidRDefault="00C637A7" w:rsidP="00C637A7">
      <w:r w:rsidRPr="00302B83">
        <w:rPr>
          <w:sz w:val="22"/>
          <w:szCs w:val="22"/>
          <w:lang w:val="en-US"/>
        </w:rPr>
        <w:t>At this point the Housing Manager can either assign the case to a case manager or submit the parent support item to the relevant queue</w:t>
      </w:r>
      <w:r>
        <w:rPr>
          <w:sz w:val="22"/>
          <w:szCs w:val="22"/>
          <w:lang w:val="en-US"/>
        </w:rPr>
        <w:t xml:space="preserve"> (Homes for Heroes) </w:t>
      </w:r>
      <w:r w:rsidRPr="00302B83">
        <w:rPr>
          <w:sz w:val="22"/>
          <w:szCs w:val="22"/>
          <w:lang w:val="en-US"/>
        </w:rPr>
        <w:t>to be picked from the queue</w:t>
      </w:r>
    </w:p>
    <w:sectPr w:rsidR="00B2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21761"/>
    <w:multiLevelType w:val="hybridMultilevel"/>
    <w:tmpl w:val="4A503A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D46F60"/>
    <w:multiLevelType w:val="hybridMultilevel"/>
    <w:tmpl w:val="0CAED87A"/>
    <w:lvl w:ilvl="0" w:tplc="FDE60144">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 w15:restartNumberingAfterBreak="0">
    <w:nsid w:val="622B48FF"/>
    <w:multiLevelType w:val="hybridMultilevel"/>
    <w:tmpl w:val="1C706B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453F65"/>
    <w:multiLevelType w:val="hybridMultilevel"/>
    <w:tmpl w:val="21041852"/>
    <w:lvl w:ilvl="0" w:tplc="0C09000F">
      <w:start w:val="1"/>
      <w:numFmt w:val="decimal"/>
      <w:lvlText w:val="%1."/>
      <w:lvlJc w:val="left"/>
      <w:pPr>
        <w:ind w:left="408" w:hanging="360"/>
      </w:pPr>
      <w:rPr>
        <w:rFonts w:hint="default"/>
      </w:rPr>
    </w:lvl>
    <w:lvl w:ilvl="1" w:tplc="FFFFFFFF">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num w:numId="1" w16cid:durableId="1103653428">
    <w:abstractNumId w:val="3"/>
  </w:num>
  <w:num w:numId="2" w16cid:durableId="1220365801">
    <w:abstractNumId w:val="0"/>
  </w:num>
  <w:num w:numId="3" w16cid:durableId="1662662205">
    <w:abstractNumId w:val="2"/>
  </w:num>
  <w:num w:numId="4" w16cid:durableId="95663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8D"/>
    <w:rsid w:val="0089257E"/>
    <w:rsid w:val="00B20A8D"/>
    <w:rsid w:val="00C32925"/>
    <w:rsid w:val="00C637A7"/>
    <w:rsid w:val="00F90E11"/>
    <w:rsid w:val="00F92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A303"/>
  <w15:chartTrackingRefBased/>
  <w15:docId w15:val="{A2C8F895-6A11-4832-8296-148D7D03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A7"/>
  </w:style>
  <w:style w:type="paragraph" w:styleId="Heading1">
    <w:name w:val="heading 1"/>
    <w:basedOn w:val="Normal"/>
    <w:next w:val="Normal"/>
    <w:link w:val="Heading1Char"/>
    <w:uiPriority w:val="9"/>
    <w:qFormat/>
    <w:rsid w:val="00B20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A8D"/>
    <w:rPr>
      <w:rFonts w:eastAsiaTheme="majorEastAsia" w:cstheme="majorBidi"/>
      <w:color w:val="272727" w:themeColor="text1" w:themeTint="D8"/>
    </w:rPr>
  </w:style>
  <w:style w:type="paragraph" w:styleId="Title">
    <w:name w:val="Title"/>
    <w:basedOn w:val="Normal"/>
    <w:next w:val="Normal"/>
    <w:link w:val="TitleChar"/>
    <w:uiPriority w:val="10"/>
    <w:qFormat/>
    <w:rsid w:val="00B2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A8D"/>
    <w:pPr>
      <w:spacing w:before="160"/>
      <w:jc w:val="center"/>
    </w:pPr>
    <w:rPr>
      <w:i/>
      <w:iCs/>
      <w:color w:val="404040" w:themeColor="text1" w:themeTint="BF"/>
    </w:rPr>
  </w:style>
  <w:style w:type="character" w:customStyle="1" w:styleId="QuoteChar">
    <w:name w:val="Quote Char"/>
    <w:basedOn w:val="DefaultParagraphFont"/>
    <w:link w:val="Quote"/>
    <w:uiPriority w:val="29"/>
    <w:rsid w:val="00B20A8D"/>
    <w:rPr>
      <w:i/>
      <w:iCs/>
      <w:color w:val="404040" w:themeColor="text1" w:themeTint="BF"/>
    </w:rPr>
  </w:style>
  <w:style w:type="paragraph" w:styleId="ListParagraph">
    <w:name w:val="List Paragraph"/>
    <w:basedOn w:val="Normal"/>
    <w:uiPriority w:val="34"/>
    <w:qFormat/>
    <w:rsid w:val="00B20A8D"/>
    <w:pPr>
      <w:ind w:left="720"/>
      <w:contextualSpacing/>
    </w:pPr>
  </w:style>
  <w:style w:type="character" w:styleId="IntenseEmphasis">
    <w:name w:val="Intense Emphasis"/>
    <w:basedOn w:val="DefaultParagraphFont"/>
    <w:uiPriority w:val="21"/>
    <w:qFormat/>
    <w:rsid w:val="00B20A8D"/>
    <w:rPr>
      <w:i/>
      <w:iCs/>
      <w:color w:val="0F4761" w:themeColor="accent1" w:themeShade="BF"/>
    </w:rPr>
  </w:style>
  <w:style w:type="paragraph" w:styleId="IntenseQuote">
    <w:name w:val="Intense Quote"/>
    <w:basedOn w:val="Normal"/>
    <w:next w:val="Normal"/>
    <w:link w:val="IntenseQuoteChar"/>
    <w:uiPriority w:val="30"/>
    <w:qFormat/>
    <w:rsid w:val="00B20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A8D"/>
    <w:rPr>
      <w:i/>
      <w:iCs/>
      <w:color w:val="0F4761" w:themeColor="accent1" w:themeShade="BF"/>
    </w:rPr>
  </w:style>
  <w:style w:type="character" w:styleId="IntenseReference">
    <w:name w:val="Intense Reference"/>
    <w:basedOn w:val="DefaultParagraphFont"/>
    <w:uiPriority w:val="32"/>
    <w:qFormat/>
    <w:rsid w:val="00B20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FD865339E444C8A73D25348C8469A" ma:contentTypeVersion="4" ma:contentTypeDescription="Create a new document." ma:contentTypeScope="" ma:versionID="cbf3a4de42cb31111265b9f788755bf1">
  <xsd:schema xmlns:xsd="http://www.w3.org/2001/XMLSchema" xmlns:xs="http://www.w3.org/2001/XMLSchema" xmlns:p="http://schemas.microsoft.com/office/2006/metadata/properties" xmlns:ns2="55d5afd3-5d91-4409-a123-58320eb578c7" targetNamespace="http://schemas.microsoft.com/office/2006/metadata/properties" ma:root="true" ma:fieldsID="18e76ee6a28415dfc1020b524b605df9" ns2:_="">
    <xsd:import namespace="55d5afd3-5d91-4409-a123-58320eb57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5afd3-5d91-4409-a123-58320eb57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13DFBE-E7D5-4FEE-AF7A-EE5B32297EB8}"/>
</file>

<file path=customXml/itemProps2.xml><?xml version="1.0" encoding="utf-8"?>
<ds:datastoreItem xmlns:ds="http://schemas.openxmlformats.org/officeDocument/2006/customXml" ds:itemID="{39E5ECA0-B2BC-4606-9FA4-B3081FBDC930}"/>
</file>

<file path=customXml/itemProps3.xml><?xml version="1.0" encoding="utf-8"?>
<ds:datastoreItem xmlns:ds="http://schemas.openxmlformats.org/officeDocument/2006/customXml" ds:itemID="{C589EDE4-94FF-4F1B-8E00-B76AE7867096}"/>
</file>

<file path=docProps/app.xml><?xml version="1.0" encoding="utf-8"?>
<Properties xmlns="http://schemas.openxmlformats.org/officeDocument/2006/extended-properties" xmlns:vt="http://schemas.openxmlformats.org/officeDocument/2006/docPropsVTypes">
  <Template>Normal</Template>
  <TotalTime>49</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Slack-Smith</dc:creator>
  <cp:keywords/>
  <dc:description/>
  <cp:lastModifiedBy>Liam Slack-Smith</cp:lastModifiedBy>
  <cp:revision>3</cp:revision>
  <dcterms:created xsi:type="dcterms:W3CDTF">2025-04-07T02:30:00Z</dcterms:created>
  <dcterms:modified xsi:type="dcterms:W3CDTF">2025-04-11T05:29:00Z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0x010100211FD865339E444C8A73D25348C8469A</vt:lpwstr>
  </property>
</Properties>
</file>