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B0B4B" w14:textId="4D4AA845" w:rsidR="001513EA" w:rsidRDefault="001513EA">
      <w:pPr>
        <w:rPr>
          <w:lang w:val="en-US"/>
        </w:rPr>
      </w:pPr>
      <w:r>
        <w:rPr>
          <w:b/>
          <w:bCs/>
          <w:lang w:val="en-US"/>
        </w:rPr>
        <w:t>Homes for Heroes C</w:t>
      </w:r>
      <w:r w:rsidR="00FC1FDC">
        <w:rPr>
          <w:b/>
          <w:bCs/>
          <w:lang w:val="en-US"/>
        </w:rPr>
        <w:t>ase Management</w:t>
      </w:r>
    </w:p>
    <w:p w14:paraId="50A555A2" w14:textId="50E50F28" w:rsidR="00B21420" w:rsidRDefault="00FC1FDC">
      <w:pPr>
        <w:rPr>
          <w:lang w:val="en-US"/>
        </w:rPr>
      </w:pPr>
      <w:r>
        <w:rPr>
          <w:lang w:val="en-US"/>
        </w:rPr>
        <w:t xml:space="preserve">When </w:t>
      </w:r>
      <w:r w:rsidR="00B21420">
        <w:rPr>
          <w:lang w:val="en-US"/>
        </w:rPr>
        <w:t>a Homes for Heroes case needs to be created for a client, set the type to ‘Housing’ and the Sub-Type to ‘Homes for Heroes’</w:t>
      </w:r>
    </w:p>
    <w:p w14:paraId="2F60D46B" w14:textId="77777777" w:rsidR="00D214A6" w:rsidRDefault="00D214A6">
      <w:pPr>
        <w:rPr>
          <w:lang w:val="en-US"/>
        </w:rPr>
      </w:pPr>
    </w:p>
    <w:p w14:paraId="17B73D12" w14:textId="2678EE39" w:rsidR="00D214A6" w:rsidRDefault="00D214A6">
      <w:pPr>
        <w:rPr>
          <w:lang w:val="en-US"/>
        </w:rPr>
      </w:pPr>
      <w:r>
        <w:rPr>
          <w:lang w:val="en-US"/>
        </w:rPr>
        <w:t>The following work items are involved in the Homes for Heroes process:</w:t>
      </w:r>
    </w:p>
    <w:p w14:paraId="2B6B356C" w14:textId="767C9443" w:rsidR="00D214A6" w:rsidRDefault="00E87B17" w:rsidP="00E8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H4H Form Completion</w:t>
      </w:r>
    </w:p>
    <w:p w14:paraId="3888AD30" w14:textId="6220EFF2" w:rsidR="00AE1E9C" w:rsidRDefault="00D45F39" w:rsidP="00AE1E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Participant Agreement</w:t>
      </w:r>
    </w:p>
    <w:p w14:paraId="77B15ED6" w14:textId="19DE5681" w:rsidR="00D45F39" w:rsidRDefault="00D45F39" w:rsidP="00AE1E9C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Review</w:t>
      </w:r>
      <w:proofErr w:type="gramEnd"/>
      <w:r>
        <w:rPr>
          <w:lang w:val="en-US"/>
        </w:rPr>
        <w:t xml:space="preserve"> Village Rules</w:t>
      </w:r>
    </w:p>
    <w:p w14:paraId="56AE8142" w14:textId="17272F0B" w:rsidR="00D45F39" w:rsidRDefault="00D45F39" w:rsidP="00AE1E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Direct Debit Setup</w:t>
      </w:r>
    </w:p>
    <w:p w14:paraId="4BD9B331" w14:textId="790A4F88" w:rsidR="00E87B17" w:rsidRDefault="00E87B17" w:rsidP="00E8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Room Inspections</w:t>
      </w:r>
    </w:p>
    <w:p w14:paraId="7DB43D6B" w14:textId="172091CC" w:rsidR="00E87B17" w:rsidRDefault="00E87B17" w:rsidP="00E8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Check-in</w:t>
      </w:r>
    </w:p>
    <w:p w14:paraId="4A9280D3" w14:textId="740018C3" w:rsidR="00E87B17" w:rsidRDefault="00E87B17" w:rsidP="00E8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Personal Wellbeing Index Assessments</w:t>
      </w:r>
    </w:p>
    <w:p w14:paraId="5D988CA1" w14:textId="399F7E38" w:rsidR="00536B9F" w:rsidRDefault="00536B9F" w:rsidP="00E8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Support and Linkage</w:t>
      </w:r>
    </w:p>
    <w:p w14:paraId="166AF157" w14:textId="76C2C063" w:rsidR="00536B9F" w:rsidRDefault="00536B9F" w:rsidP="00E87B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Weekly support Plan Meeting</w:t>
      </w:r>
    </w:p>
    <w:p w14:paraId="0AA3C993" w14:textId="3AFE24E2" w:rsidR="00AE1E9C" w:rsidRDefault="00AE1E9C" w:rsidP="00AE1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Drug Screening</w:t>
      </w:r>
    </w:p>
    <w:p w14:paraId="36E127F3" w14:textId="3926C762" w:rsidR="00A36081" w:rsidRDefault="00A36081" w:rsidP="00A36081">
      <w:pPr>
        <w:rPr>
          <w:lang w:val="en-US"/>
        </w:rPr>
      </w:pPr>
      <w:r>
        <w:rPr>
          <w:b/>
          <w:bCs/>
          <w:lang w:val="en-US"/>
        </w:rPr>
        <w:t>Post Exit H4H Outreach Case Management</w:t>
      </w:r>
    </w:p>
    <w:p w14:paraId="5BED2C52" w14:textId="31F7CC62" w:rsidR="00A36081" w:rsidRDefault="00AB6453" w:rsidP="00A36081">
      <w:pPr>
        <w:rPr>
          <w:lang w:val="en-US"/>
        </w:rPr>
      </w:pPr>
      <w:r>
        <w:rPr>
          <w:lang w:val="en-US"/>
        </w:rPr>
        <w:t>Create a case with a type of ‘Housing’ and Sub-Type of ‘Outreach H4H’</w:t>
      </w:r>
    </w:p>
    <w:p w14:paraId="23363F30" w14:textId="740321FD" w:rsidR="00242440" w:rsidRDefault="00242440" w:rsidP="00242440">
      <w:pPr>
        <w:rPr>
          <w:lang w:val="en-US"/>
        </w:rPr>
      </w:pPr>
      <w:r>
        <w:rPr>
          <w:lang w:val="en-US"/>
        </w:rPr>
        <w:t>The following work items are involved in the H4H Outreach process:</w:t>
      </w:r>
    </w:p>
    <w:p w14:paraId="22DD7412" w14:textId="31495842" w:rsidR="00242440" w:rsidRDefault="00F37B35" w:rsidP="002424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Weekly Check-in</w:t>
      </w:r>
    </w:p>
    <w:p w14:paraId="5394DE64" w14:textId="77777777" w:rsidR="00F37B35" w:rsidRDefault="00F37B35" w:rsidP="00F37B35">
      <w:pPr>
        <w:rPr>
          <w:lang w:val="en-US"/>
        </w:rPr>
      </w:pPr>
    </w:p>
    <w:p w14:paraId="32CB410F" w14:textId="2F5F3AC9" w:rsidR="00F37B35" w:rsidRDefault="003926E1" w:rsidP="00F37B35">
      <w:pPr>
        <w:rPr>
          <w:lang w:val="en-US"/>
        </w:rPr>
      </w:pPr>
      <w:r>
        <w:rPr>
          <w:b/>
          <w:bCs/>
          <w:lang w:val="en-US"/>
        </w:rPr>
        <w:t xml:space="preserve">RCV and Social Housing </w:t>
      </w:r>
    </w:p>
    <w:p w14:paraId="7A81D31F" w14:textId="7A5EE4B4" w:rsidR="00AF491A" w:rsidRDefault="00AF491A" w:rsidP="00F37B35">
      <w:pPr>
        <w:rPr>
          <w:lang w:val="en-US"/>
        </w:rPr>
      </w:pPr>
      <w:r>
        <w:rPr>
          <w:lang w:val="en-US"/>
        </w:rPr>
        <w:t>RCV and Social Housing officers can pick support items by selecting a record from the ‘RCV and Social Housing’ queue</w:t>
      </w:r>
      <w:r w:rsidR="00FE6691">
        <w:rPr>
          <w:lang w:val="en-US"/>
        </w:rPr>
        <w:t xml:space="preserve"> and clicking ‘Pick’ from the ribbon button.</w:t>
      </w:r>
    </w:p>
    <w:p w14:paraId="262F1512" w14:textId="21DCF58B" w:rsidR="00FE6691" w:rsidRDefault="00FE6691" w:rsidP="00F37B35">
      <w:pPr>
        <w:rPr>
          <w:lang w:val="en-US"/>
        </w:rPr>
      </w:pPr>
      <w:r>
        <w:rPr>
          <w:lang w:val="en-US"/>
        </w:rPr>
        <w:t>Then open the picked support item and update the Item Status to In-Progress</w:t>
      </w:r>
    </w:p>
    <w:p w14:paraId="736B62C1" w14:textId="1869A883" w:rsidR="00FE6691" w:rsidRDefault="00F754A9" w:rsidP="00F37B35">
      <w:pPr>
        <w:rPr>
          <w:lang w:val="en-US"/>
        </w:rPr>
      </w:pPr>
      <w:r>
        <w:rPr>
          <w:b/>
          <w:bCs/>
          <w:lang w:val="en-US"/>
        </w:rPr>
        <w:t>RCV Initial Assessment</w:t>
      </w:r>
    </w:p>
    <w:p w14:paraId="45F34C26" w14:textId="1E6FAA70" w:rsidR="00F754A9" w:rsidRDefault="00F754A9" w:rsidP="00F37B35">
      <w:pPr>
        <w:rPr>
          <w:lang w:val="en-US"/>
        </w:rPr>
      </w:pPr>
      <w:r>
        <w:rPr>
          <w:lang w:val="en-US"/>
        </w:rPr>
        <w:t>Navigate to the Assessment tab in the support item record then click ‘+ New Assessment’</w:t>
      </w:r>
      <w:r w:rsidR="005C0300">
        <w:rPr>
          <w:lang w:val="en-US"/>
        </w:rPr>
        <w:t xml:space="preserve"> then:</w:t>
      </w:r>
    </w:p>
    <w:p w14:paraId="0508B8C6" w14:textId="16D38A64" w:rsidR="005C0300" w:rsidRDefault="005C0300" w:rsidP="005C03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 the ‘RCV and Social Assessment Form’</w:t>
      </w:r>
    </w:p>
    <w:p w14:paraId="22977632" w14:textId="39CF0D5B" w:rsidR="005C0300" w:rsidRDefault="00AA64FE" w:rsidP="005C030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the ‘General’ tab columns then navigate to RCV Assessment Questions and fill out the details before saving the record</w:t>
      </w:r>
      <w:r w:rsidR="002B1037">
        <w:rPr>
          <w:lang w:val="en-US"/>
        </w:rPr>
        <w:t>.</w:t>
      </w:r>
    </w:p>
    <w:p w14:paraId="520510E5" w14:textId="77777777" w:rsidR="002B1037" w:rsidRDefault="002B1037" w:rsidP="002B1037">
      <w:pPr>
        <w:rPr>
          <w:b/>
          <w:bCs/>
          <w:lang w:val="en-US"/>
        </w:rPr>
      </w:pPr>
    </w:p>
    <w:p w14:paraId="3AB9C356" w14:textId="77777777" w:rsidR="002B1037" w:rsidRDefault="002B1037" w:rsidP="002B1037">
      <w:pPr>
        <w:rPr>
          <w:b/>
          <w:bCs/>
          <w:lang w:val="en-US"/>
        </w:rPr>
      </w:pPr>
    </w:p>
    <w:p w14:paraId="038DB833" w14:textId="57F4D30F" w:rsidR="002B1037" w:rsidRDefault="002B1037" w:rsidP="002B1037">
      <w:pPr>
        <w:rPr>
          <w:lang w:val="en-US"/>
        </w:rPr>
      </w:pPr>
      <w:r>
        <w:rPr>
          <w:b/>
          <w:bCs/>
          <w:lang w:val="en-US"/>
        </w:rPr>
        <w:lastRenderedPageBreak/>
        <w:t>RCV Cases Management</w:t>
      </w:r>
    </w:p>
    <w:p w14:paraId="6BD16B74" w14:textId="1D15CB3A" w:rsidR="002B1037" w:rsidRDefault="002B1037" w:rsidP="002B1037">
      <w:pPr>
        <w:rPr>
          <w:lang w:val="en-US"/>
        </w:rPr>
      </w:pPr>
      <w:r>
        <w:rPr>
          <w:lang w:val="en-US"/>
        </w:rPr>
        <w:t xml:space="preserve">First navigate to the ‘Cases’ tab in the Support Item to create </w:t>
      </w:r>
      <w:r w:rsidR="00A40979">
        <w:rPr>
          <w:lang w:val="en-US"/>
        </w:rPr>
        <w:t xml:space="preserve">a new RCV and Social Housing case. You’ll need </w:t>
      </w:r>
      <w:r w:rsidR="00593C2F">
        <w:rPr>
          <w:lang w:val="en-US"/>
        </w:rPr>
        <w:t>to complete the Work Items and Work Item Actions</w:t>
      </w:r>
      <w:r w:rsidR="00670F64">
        <w:rPr>
          <w:lang w:val="en-US"/>
        </w:rPr>
        <w:t>:</w:t>
      </w:r>
    </w:p>
    <w:p w14:paraId="17A4C62B" w14:textId="5A40238B" w:rsidR="00A40979" w:rsidRDefault="00670F64" w:rsidP="00593C2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DCJ Application Forms (RCV)</w:t>
      </w:r>
    </w:p>
    <w:p w14:paraId="4D3C194C" w14:textId="1195C176" w:rsidR="00670F64" w:rsidRDefault="00670F64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Medical Assessment Form</w:t>
      </w:r>
    </w:p>
    <w:p w14:paraId="55791C5D" w14:textId="74F635F2" w:rsidR="00670F64" w:rsidRDefault="00670F64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Independent Living Skills Form</w:t>
      </w:r>
    </w:p>
    <w:p w14:paraId="70744DBF" w14:textId="0F28EC24" w:rsidR="00670F64" w:rsidRDefault="00670F64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Consent Form</w:t>
      </w:r>
    </w:p>
    <w:p w14:paraId="5420408C" w14:textId="6B7DEA38" w:rsidR="00670F64" w:rsidRDefault="00670F64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Exchange Information</w:t>
      </w:r>
    </w:p>
    <w:p w14:paraId="0F94A3AA" w14:textId="55EA4A03" w:rsidR="00670F64" w:rsidRDefault="00670F64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Independent Support Plan</w:t>
      </w:r>
    </w:p>
    <w:p w14:paraId="102D40BC" w14:textId="74CA7DC5" w:rsidR="00670F64" w:rsidRDefault="00670F64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Referral Form</w:t>
      </w:r>
    </w:p>
    <w:p w14:paraId="3A867102" w14:textId="3B8031EE" w:rsidR="00670F64" w:rsidRDefault="00670F64" w:rsidP="00670F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Supporting Documents</w:t>
      </w:r>
    </w:p>
    <w:p w14:paraId="7564295A" w14:textId="77777777" w:rsidR="000E1531" w:rsidRDefault="00692EC7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Identification Documents (ID or Birth Certificate)</w:t>
      </w:r>
    </w:p>
    <w:p w14:paraId="5D6718C7" w14:textId="77777777" w:rsidR="000E1531" w:rsidRDefault="000E1531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Bank Statements</w:t>
      </w:r>
    </w:p>
    <w:p w14:paraId="351FE7DD" w14:textId="77777777" w:rsidR="000E1531" w:rsidRDefault="000E1531" w:rsidP="00670F6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Income Statements</w:t>
      </w:r>
    </w:p>
    <w:p w14:paraId="19DECBC0" w14:textId="339E2FFE" w:rsidR="00670F64" w:rsidRDefault="000E1531" w:rsidP="000E153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RCV Approval Letter</w:t>
      </w:r>
      <w:r w:rsidR="00692EC7">
        <w:rPr>
          <w:lang w:val="en-US"/>
        </w:rPr>
        <w:t xml:space="preserve"> </w:t>
      </w:r>
    </w:p>
    <w:p w14:paraId="2F4714FA" w14:textId="3C9633AC" w:rsidR="001A40E8" w:rsidRDefault="00BE3331" w:rsidP="001A40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Rent Choice Veteran Approval Letter (Needs Client Signature)</w:t>
      </w:r>
    </w:p>
    <w:p w14:paraId="361A70F7" w14:textId="564DFC7D" w:rsidR="00BE3331" w:rsidRDefault="00BE3331" w:rsidP="001A40E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Terms and Conditions</w:t>
      </w:r>
    </w:p>
    <w:p w14:paraId="627201FB" w14:textId="6DF03810" w:rsidR="00705455" w:rsidRDefault="00BE3331" w:rsidP="0070545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DCJ Approval Letter </w:t>
      </w:r>
      <w:proofErr w:type="gramStart"/>
      <w:r>
        <w:rPr>
          <w:lang w:val="en-US"/>
        </w:rPr>
        <w:t>send</w:t>
      </w:r>
      <w:proofErr w:type="gramEnd"/>
      <w:r>
        <w:rPr>
          <w:lang w:val="en-US"/>
        </w:rPr>
        <w:t xml:space="preserve"> to the </w:t>
      </w:r>
      <w:proofErr w:type="spell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agent</w:t>
      </w:r>
    </w:p>
    <w:p w14:paraId="28EBF196" w14:textId="086DE773" w:rsidR="00705455" w:rsidRDefault="00A32569" w:rsidP="0070545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Property Search and Approval:</w:t>
      </w:r>
    </w:p>
    <w:p w14:paraId="00CA26DA" w14:textId="67D08271" w:rsidR="00A32569" w:rsidRDefault="00A32569" w:rsidP="00A3256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Support Client with Searching for Properties</w:t>
      </w:r>
    </w:p>
    <w:p w14:paraId="52384CCD" w14:textId="2594E0CD" w:rsidR="00A32569" w:rsidRDefault="00A32569" w:rsidP="00A32569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Appointment (Client)</w:t>
      </w:r>
    </w:p>
    <w:p w14:paraId="79506199" w14:textId="2B2BCF68" w:rsidR="00A32569" w:rsidRDefault="00A32569" w:rsidP="00A3256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Complete </w:t>
      </w:r>
      <w:proofErr w:type="spellStart"/>
      <w:r w:rsidR="00D759F7">
        <w:rPr>
          <w:lang w:val="en-US"/>
        </w:rPr>
        <w:t>R</w:t>
      </w:r>
      <w:r>
        <w:rPr>
          <w:lang w:val="en-US"/>
        </w:rPr>
        <w:t>ealestate</w:t>
      </w:r>
      <w:proofErr w:type="spellEnd"/>
      <w:r w:rsidR="00D759F7">
        <w:rPr>
          <w:lang w:val="en-US"/>
        </w:rPr>
        <w:t xml:space="preserve"> Applications</w:t>
      </w:r>
    </w:p>
    <w:p w14:paraId="56D8D139" w14:textId="480D7CAC" w:rsidR="00D759F7" w:rsidRDefault="00D759F7" w:rsidP="00A3256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Rental Property Approval</w:t>
      </w:r>
    </w:p>
    <w:p w14:paraId="3F5FB9B0" w14:textId="75C82330" w:rsidR="00D759F7" w:rsidRDefault="008B7848" w:rsidP="00D759F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Financial Support</w:t>
      </w:r>
    </w:p>
    <w:p w14:paraId="474EC942" w14:textId="6F122386" w:rsidR="008B7848" w:rsidRDefault="008B7848" w:rsidP="008B7848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Bond Loan Application/Approval</w:t>
      </w:r>
    </w:p>
    <w:p w14:paraId="34BC97AB" w14:textId="259A30ED" w:rsidR="007A21E0" w:rsidRDefault="008B7848" w:rsidP="007A21E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Brokerage Applications – Assistance record creation from case form</w:t>
      </w:r>
      <w:r w:rsidR="007A21E0">
        <w:rPr>
          <w:lang w:val="en-US"/>
        </w:rPr>
        <w:t>’</w:t>
      </w:r>
    </w:p>
    <w:p w14:paraId="52F999EA" w14:textId="414C94B5" w:rsidR="007A21E0" w:rsidRDefault="00974A10" w:rsidP="007A21E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3 Monthly Review</w:t>
      </w:r>
    </w:p>
    <w:p w14:paraId="2317357A" w14:textId="333FBE64" w:rsidR="00974A10" w:rsidRPr="00DD6578" w:rsidRDefault="00974A10" w:rsidP="00974A10">
      <w:pPr>
        <w:pStyle w:val="ListParagraph"/>
        <w:numPr>
          <w:ilvl w:val="1"/>
          <w:numId w:val="9"/>
        </w:numPr>
        <w:rPr>
          <w:highlight w:val="green"/>
          <w:lang w:val="en-US"/>
        </w:rPr>
      </w:pPr>
      <w:r w:rsidRPr="00DD6578">
        <w:rPr>
          <w:highlight w:val="green"/>
          <w:lang w:val="en-US"/>
        </w:rPr>
        <w:t>There will be 11 work item actions (</w:t>
      </w:r>
      <w:r w:rsidR="00DD6578" w:rsidRPr="00DD6578">
        <w:rPr>
          <w:highlight w:val="green"/>
          <w:lang w:val="en-US"/>
        </w:rPr>
        <w:t>one every 3 months for the 36-month program</w:t>
      </w:r>
    </w:p>
    <w:p w14:paraId="5873F33D" w14:textId="77777777" w:rsidR="002B1037" w:rsidRDefault="002B1037" w:rsidP="002B1037">
      <w:pPr>
        <w:rPr>
          <w:lang w:val="en-US"/>
        </w:rPr>
      </w:pPr>
    </w:p>
    <w:p w14:paraId="0FA0EE1E" w14:textId="70C380C8" w:rsidR="00417C28" w:rsidRDefault="00417C28" w:rsidP="002B1037">
      <w:pPr>
        <w:rPr>
          <w:lang w:val="en-US"/>
        </w:rPr>
      </w:pPr>
      <w:r>
        <w:rPr>
          <w:lang w:val="en-US"/>
        </w:rPr>
        <w:t>Once the client is housed, update the case columns as follows:</w:t>
      </w:r>
    </w:p>
    <w:p w14:paraId="3A59F914" w14:textId="27512784" w:rsidR="00417C28" w:rsidRDefault="00613E3E" w:rsidP="00613E3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‘Housing Status’ to Housed</w:t>
      </w:r>
    </w:p>
    <w:p w14:paraId="2EE00FD2" w14:textId="3D2D5E6E" w:rsidR="00613E3E" w:rsidRDefault="00F32228" w:rsidP="00613E3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‘Housing Program Start Date’ set to current date (or actual start date if different)</w:t>
      </w:r>
    </w:p>
    <w:p w14:paraId="1B1FFC73" w14:textId="77777777" w:rsidR="00183EA2" w:rsidRDefault="00183EA2" w:rsidP="00DD6578">
      <w:pPr>
        <w:rPr>
          <w:b/>
          <w:bCs/>
          <w:lang w:val="en-US"/>
        </w:rPr>
      </w:pPr>
    </w:p>
    <w:p w14:paraId="364C2DAD" w14:textId="77777777" w:rsidR="00324242" w:rsidRDefault="00324242" w:rsidP="00DD6578">
      <w:pPr>
        <w:rPr>
          <w:b/>
          <w:bCs/>
          <w:lang w:val="en-US"/>
        </w:rPr>
      </w:pPr>
    </w:p>
    <w:p w14:paraId="2C1C6F70" w14:textId="77777777" w:rsidR="00324242" w:rsidRDefault="00324242" w:rsidP="00DD6578">
      <w:pPr>
        <w:rPr>
          <w:b/>
          <w:bCs/>
          <w:lang w:val="en-US"/>
        </w:rPr>
      </w:pPr>
    </w:p>
    <w:p w14:paraId="4A70E226" w14:textId="77777777" w:rsidR="00324242" w:rsidRDefault="00324242" w:rsidP="00DD6578">
      <w:pPr>
        <w:rPr>
          <w:b/>
          <w:bCs/>
          <w:lang w:val="en-US"/>
        </w:rPr>
      </w:pPr>
    </w:p>
    <w:p w14:paraId="3F1BEFF2" w14:textId="669271AE" w:rsidR="00DD6578" w:rsidRDefault="00183EA2" w:rsidP="00DD657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Post Exit RCV Outreach Case Management</w:t>
      </w:r>
    </w:p>
    <w:p w14:paraId="570BB695" w14:textId="67A0A425" w:rsidR="00183EA2" w:rsidRDefault="00183EA2" w:rsidP="00DD6578">
      <w:pPr>
        <w:rPr>
          <w:lang w:val="en-US"/>
        </w:rPr>
      </w:pPr>
      <w:r>
        <w:rPr>
          <w:lang w:val="en-US"/>
        </w:rPr>
        <w:t xml:space="preserve">When creating a Post Exit RCV Outreach Case for RCV and Social Housing, set the type to Housing and </w:t>
      </w:r>
      <w:r w:rsidR="00510818">
        <w:rPr>
          <w:lang w:val="en-US"/>
        </w:rPr>
        <w:t xml:space="preserve">sub-type to Outreach RCV. You’ll need to complete the </w:t>
      </w:r>
      <w:r w:rsidR="00324242">
        <w:rPr>
          <w:lang w:val="en-US"/>
        </w:rPr>
        <w:t>following work items and work item actions:</w:t>
      </w:r>
    </w:p>
    <w:p w14:paraId="0B5FAC39" w14:textId="2786E649" w:rsidR="00620262" w:rsidRDefault="00620262" w:rsidP="006202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Monthly Check-in</w:t>
      </w:r>
    </w:p>
    <w:p w14:paraId="32D5D13A" w14:textId="75D2A03D" w:rsidR="00620262" w:rsidRDefault="00620262" w:rsidP="0062026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Check-in 1</w:t>
      </w:r>
    </w:p>
    <w:p w14:paraId="7BFAE6CC" w14:textId="5EB568E5" w:rsidR="00620262" w:rsidRPr="00620262" w:rsidRDefault="00620262" w:rsidP="0062026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Check-in </w:t>
      </w:r>
      <w:r>
        <w:rPr>
          <w:lang w:val="en-US"/>
        </w:rPr>
        <w:t>2</w:t>
      </w:r>
    </w:p>
    <w:p w14:paraId="2D359752" w14:textId="4056E20B" w:rsidR="00620262" w:rsidRDefault="00620262" w:rsidP="00620262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Check-in </w:t>
      </w:r>
      <w:r>
        <w:rPr>
          <w:lang w:val="en-US"/>
        </w:rPr>
        <w:t>3</w:t>
      </w:r>
    </w:p>
    <w:p w14:paraId="00948C4F" w14:textId="77777777" w:rsidR="00E14340" w:rsidRDefault="00E14340" w:rsidP="00E14340">
      <w:pPr>
        <w:rPr>
          <w:b/>
          <w:bCs/>
          <w:lang w:val="en-US"/>
        </w:rPr>
      </w:pPr>
    </w:p>
    <w:p w14:paraId="636ED383" w14:textId="71DE84AB" w:rsidR="00E14340" w:rsidRDefault="00E14340" w:rsidP="00E14340">
      <w:pPr>
        <w:rPr>
          <w:b/>
          <w:bCs/>
          <w:lang w:val="en-US"/>
        </w:rPr>
      </w:pPr>
      <w:r>
        <w:rPr>
          <w:b/>
          <w:bCs/>
          <w:lang w:val="en-US"/>
        </w:rPr>
        <w:t>Social Housing Case Management</w:t>
      </w:r>
    </w:p>
    <w:p w14:paraId="2D7D06BE" w14:textId="66AC15DF" w:rsidR="00E14340" w:rsidRDefault="00E14340" w:rsidP="00E14340">
      <w:pPr>
        <w:rPr>
          <w:lang w:val="en-US"/>
        </w:rPr>
      </w:pPr>
      <w:r>
        <w:rPr>
          <w:lang w:val="en-US"/>
        </w:rPr>
        <w:t xml:space="preserve">When creating a </w:t>
      </w:r>
      <w:r>
        <w:rPr>
          <w:lang w:val="en-US"/>
        </w:rPr>
        <w:t>Post Exit Social Housing Case for RCV</w:t>
      </w:r>
      <w:r w:rsidR="00F86B1B">
        <w:rPr>
          <w:lang w:val="en-US"/>
        </w:rPr>
        <w:t xml:space="preserve"> and Social Housing</w:t>
      </w:r>
      <w:r>
        <w:rPr>
          <w:lang w:val="en-US"/>
        </w:rPr>
        <w:t xml:space="preserve">, set the type to Housing and sub-type to </w:t>
      </w:r>
      <w:r w:rsidR="00F86B1B">
        <w:rPr>
          <w:lang w:val="en-US"/>
        </w:rPr>
        <w:t>Social Housing</w:t>
      </w:r>
      <w:r>
        <w:rPr>
          <w:lang w:val="en-US"/>
        </w:rPr>
        <w:t>. You’ll need to complete the following work items and work item actions:</w:t>
      </w:r>
    </w:p>
    <w:p w14:paraId="2D52A6A0" w14:textId="2BD6B9A9" w:rsidR="00F86B1B" w:rsidRDefault="00644300" w:rsidP="00F86B1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Supported Documents:</w:t>
      </w:r>
    </w:p>
    <w:p w14:paraId="189E0E33" w14:textId="537DE291" w:rsidR="00644300" w:rsidRDefault="00644300" w:rsidP="0064430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Birth Certificate</w:t>
      </w:r>
    </w:p>
    <w:p w14:paraId="37414E21" w14:textId="47242305" w:rsidR="00644300" w:rsidRDefault="00644300" w:rsidP="0064430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Consent Form</w:t>
      </w:r>
    </w:p>
    <w:p w14:paraId="17D287ED" w14:textId="463F10BF" w:rsidR="00644300" w:rsidRDefault="00644300" w:rsidP="0064430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Contact the Client/DCJ for the Application Status</w:t>
      </w:r>
    </w:p>
    <w:p w14:paraId="75FA864D" w14:textId="77777777" w:rsidR="00B66B10" w:rsidRDefault="00B66B10" w:rsidP="00B66B10">
      <w:pPr>
        <w:rPr>
          <w:b/>
          <w:bCs/>
          <w:lang w:val="en-US"/>
        </w:rPr>
      </w:pPr>
    </w:p>
    <w:p w14:paraId="3D079A87" w14:textId="21F6B458" w:rsidR="00B66B10" w:rsidRDefault="00B66B10" w:rsidP="00B66B10">
      <w:pPr>
        <w:rPr>
          <w:lang w:val="en-US"/>
        </w:rPr>
      </w:pPr>
      <w:r>
        <w:rPr>
          <w:b/>
          <w:bCs/>
          <w:lang w:val="en-US"/>
        </w:rPr>
        <w:t>Housing Case Resolution/Termination Outcomes</w:t>
      </w:r>
    </w:p>
    <w:p w14:paraId="683B6AA4" w14:textId="7E8C8A4D" w:rsidR="00B66B10" w:rsidRPr="00B66B10" w:rsidRDefault="00CE522A" w:rsidP="00B66B10">
      <w:pPr>
        <w:rPr>
          <w:lang w:val="en-US"/>
        </w:rPr>
      </w:pPr>
      <w:r>
        <w:rPr>
          <w:lang w:val="en-US"/>
        </w:rPr>
        <w:t xml:space="preserve">Navigate to Case </w:t>
      </w:r>
      <w:proofErr w:type="spellStart"/>
      <w:r>
        <w:rPr>
          <w:lang w:val="en-US"/>
        </w:rPr>
        <w:t>Reolution</w:t>
      </w:r>
      <w:proofErr w:type="spellEnd"/>
      <w:r>
        <w:rPr>
          <w:lang w:val="en-US"/>
        </w:rPr>
        <w:t>/Termination tab, update the ‘Resolve’ column to yes and fill out the rest of the columns in the tab</w:t>
      </w:r>
      <w:r w:rsidR="00A2126E">
        <w:rPr>
          <w:lang w:val="en-US"/>
        </w:rPr>
        <w:t>. Once filled out,</w:t>
      </w:r>
      <w:r w:rsidR="00C90CDB">
        <w:rPr>
          <w:lang w:val="en-US"/>
        </w:rPr>
        <w:t xml:space="preserve"> click the ‘Resolve Case’ button to the right of the Save button.</w:t>
      </w:r>
    </w:p>
    <w:sectPr w:rsidR="00B66B10" w:rsidRPr="00B66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667"/>
    <w:multiLevelType w:val="hybridMultilevel"/>
    <w:tmpl w:val="6DD60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816"/>
    <w:multiLevelType w:val="hybridMultilevel"/>
    <w:tmpl w:val="B5CCC384"/>
    <w:lvl w:ilvl="0" w:tplc="DAEACCE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30" w:hanging="360"/>
      </w:pPr>
    </w:lvl>
    <w:lvl w:ilvl="2" w:tplc="0C09001B" w:tentative="1">
      <w:start w:val="1"/>
      <w:numFmt w:val="lowerRoman"/>
      <w:lvlText w:val="%3."/>
      <w:lvlJc w:val="right"/>
      <w:pPr>
        <w:ind w:left="1950" w:hanging="180"/>
      </w:pPr>
    </w:lvl>
    <w:lvl w:ilvl="3" w:tplc="0C09000F" w:tentative="1">
      <w:start w:val="1"/>
      <w:numFmt w:val="decimal"/>
      <w:lvlText w:val="%4."/>
      <w:lvlJc w:val="left"/>
      <w:pPr>
        <w:ind w:left="2670" w:hanging="360"/>
      </w:pPr>
    </w:lvl>
    <w:lvl w:ilvl="4" w:tplc="0C090019" w:tentative="1">
      <w:start w:val="1"/>
      <w:numFmt w:val="lowerLetter"/>
      <w:lvlText w:val="%5."/>
      <w:lvlJc w:val="left"/>
      <w:pPr>
        <w:ind w:left="3390" w:hanging="360"/>
      </w:pPr>
    </w:lvl>
    <w:lvl w:ilvl="5" w:tplc="0C09001B" w:tentative="1">
      <w:start w:val="1"/>
      <w:numFmt w:val="lowerRoman"/>
      <w:lvlText w:val="%6."/>
      <w:lvlJc w:val="right"/>
      <w:pPr>
        <w:ind w:left="4110" w:hanging="180"/>
      </w:pPr>
    </w:lvl>
    <w:lvl w:ilvl="6" w:tplc="0C09000F" w:tentative="1">
      <w:start w:val="1"/>
      <w:numFmt w:val="decimal"/>
      <w:lvlText w:val="%7."/>
      <w:lvlJc w:val="left"/>
      <w:pPr>
        <w:ind w:left="4830" w:hanging="360"/>
      </w:pPr>
    </w:lvl>
    <w:lvl w:ilvl="7" w:tplc="0C090019" w:tentative="1">
      <w:start w:val="1"/>
      <w:numFmt w:val="lowerLetter"/>
      <w:lvlText w:val="%8."/>
      <w:lvlJc w:val="left"/>
      <w:pPr>
        <w:ind w:left="5550" w:hanging="360"/>
      </w:pPr>
    </w:lvl>
    <w:lvl w:ilvl="8" w:tplc="0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6736EF1"/>
    <w:multiLevelType w:val="hybridMultilevel"/>
    <w:tmpl w:val="94A4D384"/>
    <w:lvl w:ilvl="0" w:tplc="1BC80A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E5B3A01"/>
    <w:multiLevelType w:val="hybridMultilevel"/>
    <w:tmpl w:val="15EEA2FC"/>
    <w:lvl w:ilvl="0" w:tplc="7F321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31C14"/>
    <w:multiLevelType w:val="hybridMultilevel"/>
    <w:tmpl w:val="84983950"/>
    <w:lvl w:ilvl="0" w:tplc="F5C6695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D63121"/>
    <w:multiLevelType w:val="hybridMultilevel"/>
    <w:tmpl w:val="8BD02F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82B81"/>
    <w:multiLevelType w:val="hybridMultilevel"/>
    <w:tmpl w:val="988CD8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06257"/>
    <w:multiLevelType w:val="hybridMultilevel"/>
    <w:tmpl w:val="101C75D0"/>
    <w:lvl w:ilvl="0" w:tplc="283AC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202385"/>
    <w:multiLevelType w:val="hybridMultilevel"/>
    <w:tmpl w:val="E62233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D75B6"/>
    <w:multiLevelType w:val="hybridMultilevel"/>
    <w:tmpl w:val="B6DCBBFE"/>
    <w:lvl w:ilvl="0" w:tplc="ADC6F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DF4D9C"/>
    <w:multiLevelType w:val="hybridMultilevel"/>
    <w:tmpl w:val="E96E9DD0"/>
    <w:lvl w:ilvl="0" w:tplc="2D1A880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85840A5"/>
    <w:multiLevelType w:val="hybridMultilevel"/>
    <w:tmpl w:val="F78C4A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15268"/>
    <w:multiLevelType w:val="hybridMultilevel"/>
    <w:tmpl w:val="7E5C37BE"/>
    <w:lvl w:ilvl="0" w:tplc="BAD4109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BEB3ED3"/>
    <w:multiLevelType w:val="hybridMultilevel"/>
    <w:tmpl w:val="2E189A52"/>
    <w:lvl w:ilvl="0" w:tplc="BC38203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2056194851">
    <w:abstractNumId w:val="12"/>
  </w:num>
  <w:num w:numId="2" w16cid:durableId="732123265">
    <w:abstractNumId w:val="0"/>
  </w:num>
  <w:num w:numId="3" w16cid:durableId="409353666">
    <w:abstractNumId w:val="2"/>
  </w:num>
  <w:num w:numId="4" w16cid:durableId="1443184198">
    <w:abstractNumId w:val="9"/>
  </w:num>
  <w:num w:numId="5" w16cid:durableId="900557019">
    <w:abstractNumId w:val="13"/>
  </w:num>
  <w:num w:numId="6" w16cid:durableId="63377866">
    <w:abstractNumId w:val="7"/>
  </w:num>
  <w:num w:numId="7" w16cid:durableId="1178471310">
    <w:abstractNumId w:val="1"/>
  </w:num>
  <w:num w:numId="8" w16cid:durableId="1069495749">
    <w:abstractNumId w:val="4"/>
  </w:num>
  <w:num w:numId="9" w16cid:durableId="1527013313">
    <w:abstractNumId w:val="5"/>
  </w:num>
  <w:num w:numId="10" w16cid:durableId="1557278102">
    <w:abstractNumId w:val="10"/>
  </w:num>
  <w:num w:numId="11" w16cid:durableId="1775903023">
    <w:abstractNumId w:val="3"/>
  </w:num>
  <w:num w:numId="12" w16cid:durableId="828013228">
    <w:abstractNumId w:val="11"/>
  </w:num>
  <w:num w:numId="13" w16cid:durableId="1582718170">
    <w:abstractNumId w:val="8"/>
  </w:num>
  <w:num w:numId="14" w16cid:durableId="1674068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EB"/>
    <w:rsid w:val="000E1531"/>
    <w:rsid w:val="001513EA"/>
    <w:rsid w:val="00183EA2"/>
    <w:rsid w:val="001A40E8"/>
    <w:rsid w:val="00242440"/>
    <w:rsid w:val="002B1037"/>
    <w:rsid w:val="00324242"/>
    <w:rsid w:val="003549F9"/>
    <w:rsid w:val="003926E1"/>
    <w:rsid w:val="00417C28"/>
    <w:rsid w:val="004B6CA8"/>
    <w:rsid w:val="004F6A10"/>
    <w:rsid w:val="00510818"/>
    <w:rsid w:val="00536B9F"/>
    <w:rsid w:val="00593C2F"/>
    <w:rsid w:val="005C0300"/>
    <w:rsid w:val="00613E3E"/>
    <w:rsid w:val="00620262"/>
    <w:rsid w:val="00644300"/>
    <w:rsid w:val="00670F64"/>
    <w:rsid w:val="00692EC7"/>
    <w:rsid w:val="00705455"/>
    <w:rsid w:val="00760616"/>
    <w:rsid w:val="007A21E0"/>
    <w:rsid w:val="008B7848"/>
    <w:rsid w:val="00974A10"/>
    <w:rsid w:val="00A2126E"/>
    <w:rsid w:val="00A32569"/>
    <w:rsid w:val="00A36081"/>
    <w:rsid w:val="00A40979"/>
    <w:rsid w:val="00AA64FE"/>
    <w:rsid w:val="00AB6453"/>
    <w:rsid w:val="00AE1E9C"/>
    <w:rsid w:val="00AF491A"/>
    <w:rsid w:val="00AF6E3C"/>
    <w:rsid w:val="00B21420"/>
    <w:rsid w:val="00B66B10"/>
    <w:rsid w:val="00BC4264"/>
    <w:rsid w:val="00BE3331"/>
    <w:rsid w:val="00C90CDB"/>
    <w:rsid w:val="00CE522A"/>
    <w:rsid w:val="00CF11EB"/>
    <w:rsid w:val="00D214A6"/>
    <w:rsid w:val="00D45F39"/>
    <w:rsid w:val="00D759F7"/>
    <w:rsid w:val="00DD6578"/>
    <w:rsid w:val="00E14340"/>
    <w:rsid w:val="00E87B17"/>
    <w:rsid w:val="00F32228"/>
    <w:rsid w:val="00F37B35"/>
    <w:rsid w:val="00F754A9"/>
    <w:rsid w:val="00F86B1B"/>
    <w:rsid w:val="00FC1FDC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D0EE"/>
  <w15:chartTrackingRefBased/>
  <w15:docId w15:val="{9CDCABDF-C0E7-42BD-8841-DC9F50B4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340"/>
  </w:style>
  <w:style w:type="paragraph" w:styleId="Heading1">
    <w:name w:val="heading 1"/>
    <w:basedOn w:val="Normal"/>
    <w:next w:val="Normal"/>
    <w:link w:val="Heading1Char"/>
    <w:uiPriority w:val="9"/>
    <w:qFormat/>
    <w:rsid w:val="00CF1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Slack-Smith</dc:creator>
  <cp:keywords/>
  <dc:description/>
  <cp:lastModifiedBy>Liam Slack-Smith</cp:lastModifiedBy>
  <cp:revision>2</cp:revision>
  <dcterms:created xsi:type="dcterms:W3CDTF">2025-04-29T05:52:00Z</dcterms:created>
  <dcterms:modified xsi:type="dcterms:W3CDTF">2025-04-29T05:52:00Z</dcterms:modified>
</cp:coreProperties>
</file>