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M. RIFQI DZAKY AZHAD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Summary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Medical imaging ML researcher at Telkom University, GPA 4.0/4.0. Built a bone scan diagnostic pipeline achieving patient-level AUC 0.956, above EXINI and BONENAVI (two commercial systems in clinical use). First-authored a conference paper published in IEEE Xplore. ML system in production on commercial mining fleet dashcams.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S1 Informatika (Bachelor of Informatics)</w:t>
      </w:r>
      <w:r>
        <w:rPr>
          <w:rFonts w:ascii="Calibri" w:cs="Calibri" w:eastAsia="Calibri" w:hAnsi="Calibri"/>
          <w:sz w:val="20"/>
          <w:szCs w:val="20"/>
        </w:rPr>
        <w:t xml:space="preserve">	May 2023 – Expected May 2027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Multi-Task CXR Foundation Model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Developing a 20+ disease CXR pathology classifier with hierarchical classification and fallback uncertainty estimation, aligned to Indonesian healthcare organization disease standards.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pathology classifier and organ segmentation as shared microservices consumed by the team’s web and desktop apps through a single API.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Engineer Intern</w:t>
      </w:r>
      <w:r>
        <w:rPr>
          <w:rFonts w:ascii="Calibri" w:cs="Calibri" w:eastAsia="Calibri" w:hAnsi="Calibri"/>
          <w:sz w:val="20"/>
          <w:szCs w:val="20"/>
        </w:rPr>
        <w:t xml:space="preserve">	March 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Designed a facial landmark sequence model from scratch on real dashcam footage from active mining fleet drivers at BIB, PAMA MTBU, and SIS. Achieved Macro F1 0.78, an 11% gain over the company’s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a 3-service async cloud-review API with night-hour and repeat-event risk escalation rules, verified against the live company MDVR server.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Bird Sound Identification</w:t>
      </w:r>
      <w:r>
        <w:rPr>
          <w:rFonts w:ascii="Calibri" w:cs="Calibri" w:eastAsia="Calibri" w:hAnsi="Calibri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Fine-tuned BirdNET v2.4 on 12,511 recordings across 219 endemic and endangered species in Indonesia, Malaysia, and Borneo. Macro F1 improved 44.1% over baseline on the endemic and endangered subset.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First-authored a conference paper on the research, published at ICITACEE 2025 (IEEE Xplore).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</w:t>
      </w:r>
      <w:r>
        <w:rPr>
          <w:rFonts w:ascii="Calibri" w:cs="Calibri" w:eastAsia="Calibri" w:hAnsi="Calibri"/>
          <w:sz w:val="20"/>
          <w:szCs w:val="20"/>
        </w:rPr>
        <w:t xml:space="preserve">	April 2025 – June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Screened 212+ papers using Zotero and Parsifal with AI-assisted triage, applying PRISMA-aligned quality assessment and structured data extraction.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Produced a synthesis mapping publication trends by year, covering the full reviewed corpus.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Whole-Body Bone Scintigraphy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Annotated 600+ whole-body bone scan images supervised by nuclear medicine physicians at Dr. Hasan Sadikin Hospital, Universitas Padjadjaran.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hotspot detection with YOLOv8 (mAP@0.5 = 0.599) and skeletal segmentation with nnU-Net v2 across 12 anatomical regions (IoU 0.879). Patient-level AUC 0.956, surpassing EXINI (0.83–0.88) and BONENAVI (0.84–0.89).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Group Coordinator</w:t>
      </w:r>
      <w:r>
        <w:rPr>
          <w:rFonts w:ascii="Calibri" w:cs="Calibri" w:eastAsia="Calibri" w:hAnsi="Calibri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Recruited, taught, and evaluated 29 students across weekly sessions and a final project.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Supervised 15 project groups from proposal to final demonstration, assessing technical execution and research quality at each stage.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Staff, Research and Development</w:t>
      </w:r>
      <w:r>
        <w:rPr>
          <w:rFonts w:ascii="Calibri" w:cs="Calibri" w:eastAsia="Calibri" w:hAnsi="Calibri"/>
          <w:sz w:val="20"/>
          <w:szCs w:val="20"/>
        </w:rPr>
        <w:t xml:space="preserve">	January 2025 – January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IEEE Student Branch,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Led branch team at YESIST12 Maker Fair. Placed Top 25 at Data Slayer 2.0 Data Science Competition.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Tracked and distributed competition opportunities across IEEE and BELMAWA programs to branch members.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Group Member</w:t>
      </w:r>
      <w:r>
        <w:rPr>
          <w:rFonts w:ascii="Calibri" w:cs="Calibri" w:eastAsia="Calibri" w:hAnsi="Calibri"/>
          <w:sz w:val="20"/>
          <w:szCs w:val="20"/>
        </w:rPr>
        <w:t xml:space="preserve">	October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Led the plant disease classifier project: data cleaning, computer vision model training, and Streamlit deployment. Delivered in one semester.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Won 3rd place at CCI Summit Kaggle, first time as team lead. Awarded 2nd Best Final Project in the Study Group.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Assistant Lecturer, Programming and Algorithms II</w:t>
      </w:r>
      <w:r>
        <w:rPr>
          <w:rFonts w:ascii="Calibri" w:cs="Calibri" w:eastAsia="Calibri" w:hAnsi="Calibri"/>
          <w:sz w:val="20"/>
          <w:szCs w:val="20"/>
        </w:rPr>
        <w:t xml:space="preserve">	February 2025 – June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School of Informatics,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Reviewed and corrected 200+ quiz questions with course lecturers before release to students.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Supported 40+ students with real-time debugging during live programming assessments.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Assistant Lecturer, Calculus I</w:t>
      </w:r>
      <w:r>
        <w:rPr>
          <w:rFonts w:ascii="Calibri" w:cs="Calibri" w:eastAsia="Calibri" w:hAnsi="Calibri"/>
          <w:sz w:val="20"/>
          <w:szCs w:val="20"/>
        </w:rPr>
        <w:t xml:space="preserve">	September 2024 – January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School of Informatics,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Tutored 40+ students across weekly sessions. Graded four major assessments.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Member, Data Research Division</w:t>
      </w:r>
      <w:r>
        <w:rPr>
          <w:rFonts w:ascii="Calibri" w:cs="Calibri" w:eastAsia="Calibri" w:hAnsi="Calibri"/>
          <w:sz w:val="20"/>
          <w:szCs w:val="20"/>
        </w:rPr>
        <w:t xml:space="preserve">	August 2023 – May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Central Computer Improvement (CCI),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multi-class sentiment detection model achieving 70% accuracy using LSTM, GRU, BERT, LightGBM, XGBoost, and CatBoost.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 Volunteer</w:t>
      </w:r>
      <w:r>
        <w:rPr>
          <w:rFonts w:ascii="Calibri" w:cs="Calibri" w:eastAsia="Calibri" w:hAnsi="Calibri"/>
          <w:sz w:val="20"/>
          <w:szCs w:val="20"/>
        </w:rPr>
        <w:t xml:space="preserve">	September 2024 – November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Bebras –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Designed and delivered computational thinking activities for junior high students at SMP Negeri 1 Pacet.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Registration Committee</w:t>
      </w:r>
      <w:r>
        <w:rPr>
          <w:rFonts w:ascii="Calibri" w:cs="Calibri" w:eastAsia="Calibri" w:hAnsi="Calibri"/>
          <w:sz w:val="20"/>
          <w:szCs w:val="20"/>
        </w:rPr>
        <w:t xml:space="preserve">	November 2025 – January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Bebras – Telkom University Bureau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Cleaned and prepared registration data for 1,000+ participants nationwide using Python and Google Sheets.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Paper Reviewer and Room Coordinator</w:t>
      </w:r>
      <w:r>
        <w:rPr>
          <w:rFonts w:ascii="Calibri" w:cs="Calibri" w:eastAsia="Calibri" w:hAnsi="Calibri"/>
          <w:sz w:val="20"/>
          <w:szCs w:val="20"/>
        </w:rPr>
        <w:t xml:space="preserve">	August 2024 – September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ICoICT 2024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Reviewed 4 conference papers and returned corrections ahead of deadline. Managed AV for 4 sessions, assisted 22 presenters.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Publications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[Journal Paper]  </w:t>
      </w:r>
      <w:r>
        <w:rPr>
          <w:rFonts w:ascii="Calibri" w:cs="Calibri" w:eastAsia="Calibri" w:hAnsi="Calibri"/>
          <w:sz w:val="20"/>
          <w:szCs w:val="20"/>
        </w:rPr>
        <w:t xml:space="preserve">Ema Rachmawati, M. Rifqi Dzaky Azhad et al. (2nd author).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Calibri" w:cs="Calibri" w:eastAsia="Calibri" w:hAnsi="Calibri"/>
          <w:sz w:val="20"/>
          <w:szCs w:val="20"/>
        </w:rPr>
        <w:t xml:space="preserve">.  International Journal of Intelligent Engineering and Systems (IJIES-INASS),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[Conference Paper]  </w:t>
      </w:r>
      <w:r>
        <w:rPr>
          <w:rFonts w:ascii="Calibri" w:cs="Calibri" w:eastAsia="Calibri" w:hAnsi="Calibri"/>
          <w:sz w:val="20"/>
          <w:szCs w:val="20"/>
        </w:rPr>
        <w:t xml:space="preserve">M. Rifqi Dzaky Azhad, Rafiq Labib, Athila Ramdani Saputra, Edward Ferdian et al. (1st author).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 for Bird Identification Using Sound: Enhancing Avian Monitoring and Conservation in Indonesia and Malaysia</w:t>
      </w:r>
      <w:r>
        <w:rPr>
          <w:rFonts w:ascii="Calibri" w:cs="Calibri" w:eastAsia="Calibri" w:hAnsi="Calibri"/>
          <w:sz w:val="20"/>
          <w:szCs w:val="20"/>
        </w:rPr>
        <w:t xml:space="preserve">.  ICITACEE 2025, indexed IEEE Xplore.</w:t>
      </w:r>
      <w:r>
        <w:rPr>
          <w:rFonts w:ascii="Calibri" w:cs="Calibri" w:eastAsia="Calibri" w:hAnsi="Calibri"/>
          <w:sz w:val="20"/>
          <w:szCs w:val="20"/>
        </w:rPr>
        <w:t xml:space="preserve">  https://ieeexplore.ieee.org/document/11233192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[Preprint (under review)]  </w:t>
      </w:r>
      <w:r>
        <w:rPr>
          <w:rFonts w:ascii="Calibri" w:cs="Calibri" w:eastAsia="Calibri" w:hAnsi="Calibri"/>
          <w:sz w:val="20"/>
          <w:szCs w:val="20"/>
        </w:rPr>
        <w:t xml:space="preserve">Ema Rachmawati, M. Rifqi Dzaky Azhad et al. (2nd author).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From Segmentation to Biomarker Quantification: A Deep Learning Framework for Metastases Detection in Bone Scans</w:t>
      </w:r>
      <w:r>
        <w:rPr>
          <w:rFonts w:ascii="Calibri" w:cs="Calibri" w:eastAsia="Calibri" w:hAnsi="Calibri"/>
          <w:sz w:val="20"/>
          <w:szCs w:val="20"/>
        </w:rPr>
        <w:t xml:space="preserve">.  SSRN, 2025.</w:t>
      </w:r>
      <w:r>
        <w:rPr>
          <w:rFonts w:ascii="Calibri" w:cs="Calibri" w:eastAsia="Calibri" w:hAnsi="Calibri"/>
          <w:sz w:val="20"/>
          <w:szCs w:val="20"/>
        </w:rPr>
        <w:t xml:space="preserve">  https://ssrn.com/abstract=5187453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[Dataset]  </w:t>
      </w:r>
      <w:r>
        <w:rPr>
          <w:rFonts w:ascii="Calibri" w:cs="Calibri" w:eastAsia="Calibri" w:hAnsi="Calibri"/>
          <w:sz w:val="20"/>
          <w:szCs w:val="20"/>
        </w:rPr>
        <w:t xml:space="preserve">Ema Rachmawati, M. Rifqi Dzaky Azhad (2nd author).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Whole-Body Bone Scintigraphy Segmentation Masks: Ground-Truth Annotations for Bone Area Segmentation</w:t>
      </w:r>
      <w:r>
        <w:rPr>
          <w:rFonts w:ascii="Calibri" w:cs="Calibri" w:eastAsia="Calibri" w:hAnsi="Calibri"/>
          <w:sz w:val="20"/>
          <w:szCs w:val="20"/>
        </w:rPr>
        <w:t xml:space="preserve">.  Zenodo, 2025.</w:t>
      </w:r>
      <w:r>
        <w:rPr>
          <w:rFonts w:ascii="Calibri" w:cs="Calibri" w:eastAsia="Calibri" w:hAnsi="Calibri"/>
          <w:sz w:val="20"/>
          <w:szCs w:val="20"/>
        </w:rPr>
        <w:t xml:space="preserve">  https://zenodo.org/records/20342310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Bone Metastasis Diagnosis Framework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Hotspot detection with YOLOv8: mAP@0.5 = 0.599. Skeletal segmentation with nnU-Net v2 across 12 anatomical regions: IoU 0.879.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Patient-level AUC 0.956 with XGBoost and LightGBM, surpassing EXINI (0.83–0.88) and BONENAVI (0.84–0.89), both commercial systems in clinical use at the time.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Driver Fatigue Detection</w:t>
      </w:r>
      <w:r>
        <w:rPr>
          <w:rFonts w:ascii="Calibri" w:cs="Calibri" w:eastAsia="Calibri" w:hAnsi="Calibri"/>
          <w:sz w:val="20"/>
          <w:szCs w:val="20"/>
        </w:rPr>
        <w:t xml:space="preserve">	March 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Engineer Intern · Bandung Techno Park × Trans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Macro F1 0.78 on real mining fleet dashcam footage, 11% above the company’s existing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a 3-service Docker stack serving a live async cloud-review API with risk escalation for nighttime hours and repeat fatigue events.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Multimodal Deepfake Detection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Lead · AI Lab Focused Group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One model detecting both video and audio manipulation without knowing the manipulation type at inference time.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Intra-dataset F1 0.94. Cross-dataset F1 0.60 after domain-adversarial training on 223,445 segments from PolyglotFake, FakeAVCeleb, HiDF, CelebDFv2, and FF++.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Telplastina: Multi-Task CXR Analysis Platform</w:t>
      </w:r>
      <w:r>
        <w:rPr>
          <w:rFonts w:ascii="Calibri" w:cs="Calibri" w:eastAsia="Calibri" w:hAnsi="Calibri"/>
          <w:sz w:val="20"/>
          <w:szCs w:val="20"/>
        </w:rPr>
        <w:t xml:space="preserve">	2026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Classification and Segmentation Module Lead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Led two of five AI modules within a clinical CXR platform: 20+ disease pathology classifier and organ segmentation.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Both modules deployed as microservices for the team’s web app and desktop app through shared API endpoints.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Paper Award.  </w:t>
      </w:r>
      <w:r>
        <w:rPr>
          <w:rFonts w:ascii="Calibri" w:cs="Calibri" w:eastAsia="Calibri" w:hAnsi="Calibri"/>
          <w:sz w:val="20"/>
          <w:szCs w:val="20"/>
        </w:rPr>
        <w:t xml:space="preserve">ADIKARA 2025, School of Computing, Telkom University.  Diabetic mellitus detection from retina fundus images. Led a team of 3.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Proposal Honorable Mention.  </w:t>
      </w:r>
      <w:r>
        <w:rPr>
          <w:rFonts w:ascii="Calibri" w:cs="Calibri" w:eastAsia="Calibri" w:hAnsi="Calibri"/>
          <w:sz w:val="20"/>
          <w:szCs w:val="20"/>
        </w:rPr>
        <w:t xml:space="preserve">ADIKARA 2024, School of Computing, Telkom University.  Non-invasive diabetes mellitus detection from tongue images using MobileNet and ViT.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Qualifier, D3/D4/S1 Category.  </w:t>
      </w:r>
      <w:r>
        <w:rPr>
          <w:rFonts w:ascii="Calibri" w:cs="Calibri" w:eastAsia="Calibri" w:hAnsi="Calibri"/>
          <w:sz w:val="20"/>
          <w:szCs w:val="20"/>
        </w:rPr>
        <w:t xml:space="preserve">Samsung Solve for Tomorrow 2025, Samsung Indonesia.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Top 25.  </w:t>
      </w:r>
      <w:r>
        <w:rPr>
          <w:rFonts w:ascii="Calibri" w:cs="Calibri" w:eastAsia="Calibri" w:hAnsi="Calibri"/>
          <w:sz w:val="20"/>
          <w:szCs w:val="20"/>
        </w:rPr>
        <w:t xml:space="preserve">Data Slayer 2.0 Data Science Competition, Hima Data Science Telkom University Purwokerto,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3rd Place.  </w:t>
      </w:r>
      <w:r>
        <w:rPr>
          <w:rFonts w:ascii="Calibri" w:cs="Calibri" w:eastAsia="Calibri" w:hAnsi="Calibri"/>
          <w:sz w:val="20"/>
          <w:szCs w:val="20"/>
        </w:rPr>
        <w:t xml:space="preserve">CCI Summit Kaggle Data Research Competition, Telkom University, October 2024.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Frameworks: </w:t>
      </w:r>
      <w:r>
        <w:rPr>
          <w:rFonts w:ascii="Calibri" w:cs="Calibri" w:eastAsia="Calibri" w:hAnsi="Calibri"/>
          <w:sz w:val="20"/>
          <w:szCs w:val="20"/>
        </w:rPr>
        <w:t xml:space="preserve">PyTorch, TensorFlow, Transformers, nnU-Net v2, XGBoost, LightGBM, BiomedCLIP, VideoMAE, Whisper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Vision and Audio: </w:t>
      </w:r>
      <w:r>
        <w:rPr>
          <w:rFonts w:ascii="Calibri" w:cs="Calibri" w:eastAsia="Calibri" w:hAnsi="Calibri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MLOps: </w:t>
      </w:r>
      <w:r>
        <w:rPr>
          <w:rFonts w:ascii="Calibri" w:cs="Calibri" w:eastAsia="Calibri" w:hAnsi="Calibri"/>
          <w:sz w:val="20"/>
          <w:szCs w:val="20"/>
        </w:rPr>
        <w:t xml:space="preserve">Docker, FastAPI, Git, pytest, Conda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Tools: </w:t>
      </w:r>
      <w:r>
        <w:rPr>
          <w:rFonts w:ascii="Calibri" w:cs="Calibri" w:eastAsia="Calibri" w:hAnsi="Calibri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English – Professional working proficiency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ECCT: 3.75/4.0  ·  Telkom University Language Center, February 2024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EPrT: 577/677  ·  Telkom University Language Center, August 2023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2026-06-25T02:38:01.871Z</dcterms:created>
  <dcterms:modified xsi:type="dcterms:W3CDTF">2026-06-25T02:38:01.872Z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