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M. Rifqi Dzaky Azhad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rifqiazhad21@gmail.com  ·  github.com/Liamours  ·  linkedin.com/in/rifqiazhad0210  ·  Bandung, Indonesia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Summary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Medical imaging ML researcher at Telkom University, GPA 4.0/4.0. Built a bone scan diagnostic pipeline achieving patient-level AUC 0.956, above EXINI and BONENAVI (two commercial systems in clinical use). First-authored an IEEE Xplore conference paper on bird species identification. One ML model running in production on commercial mining fleet dashcams.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Experience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Multi-Task CXR Foundation Model</w:t>
      </w:r>
      <w:r>
        <w:rPr>
          <w:rFonts w:ascii="Calibri" w:cs="Calibri" w:eastAsia="Calibri" w:hAnsi="Calibri"/>
          <w:sz w:val="20"/>
          <w:szCs w:val="20"/>
        </w:rPr>
        <w:t xml:space="preserve">	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Developing a 20+ disease CXR pathology classifier with hierarchical classification and fallback uncertainty estimation, aligned to Indonesian healthcare organization disease standards.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pathology classifier and organ segmentation as shared microservices consumed by the team's web and desktop apps through a single API.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Engineer Intern</w:t>
      </w:r>
      <w:r>
        <w:rPr>
          <w:rFonts w:ascii="Calibri" w:cs="Calibri" w:eastAsia="Calibri" w:hAnsi="Calibri"/>
          <w:sz w:val="20"/>
          <w:szCs w:val="20"/>
        </w:rPr>
        <w:t xml:space="preserve">	March 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Bandung Techno Park · Trans Track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Designed a facial landmark sequence model from scratch on real dashcam footage from active mining fleet drivers at BIB, PAMA MTBU, and SIS. Macro F1 0.78, an 11% gain over the company's production model.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a 3-service async cloud-review API with night-hour and repeat-event risk escalation rules, verified against the live company MDVR server.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Bird Sound Identification</w:t>
      </w:r>
      <w:r>
        <w:rPr>
          <w:rFonts w:ascii="Calibri" w:cs="Calibri" w:eastAsia="Calibri" w:hAnsi="Calibri"/>
          <w:sz w:val="20"/>
          <w:szCs w:val="20"/>
        </w:rPr>
        <w:t xml:space="preserve">	November 2024 – December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Fine-tuned BirdNET v2.4 on 12,511 recordings across 219 endemic and endangered species in Indonesia, Malaysia, and Borneo. Macro F1 improved 44.1% over baseline on the endemic and endangered subset.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First-authored a conference paper on the research, published at ICITACEE 2025 (IEEE Xplore).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Intern</w:t>
      </w:r>
      <w:r>
        <w:rPr>
          <w:rFonts w:ascii="Calibri" w:cs="Calibri" w:eastAsia="Calibri" w:hAnsi="Calibri"/>
          <w:sz w:val="20"/>
          <w:szCs w:val="20"/>
        </w:rPr>
        <w:t xml:space="preserve">	April 2025 – June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HUMIC Engineering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Screened 212+ papers using Zotero and Parsifal with AI-assisted triage, applying PRISMA-aligned quality assessment and structured data extraction.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Produced a synthesis mapping publication trends by year, covering the full reviewed corpus.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Whole-Body Bone Scintigraphy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Annotated 600+ whole-body bone scan images supervised by nuclear medicine physicians at Dr. Hasan Sadikin Hospital, Universitas Padjadjaran.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Built hotspot detection with YOLOv8 (mAP@0.5 = 0.599) and skeletal segmentation with nnU-Net v2 across 12 anatomical regions (IoU 0.879). Patient-level AUC 0.956, surpassing EXINI (0.83–0.88) and BONENAVI (0.84–0.89).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Study Group Coordinator</w:t>
      </w:r>
      <w:r>
        <w:rPr>
          <w:rFonts w:ascii="Calibri" w:cs="Calibri" w:eastAsia="Calibri" w:hAnsi="Calibri"/>
          <w:sz w:val="20"/>
          <w:szCs w:val="20"/>
        </w:rPr>
        <w:t xml:space="preserve">	June 2025 – February 2026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AI Lab,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Recruited, taught, and evaluated 29 students across weekly sessions and a final project.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Supervised 15 project groups from proposal to final demonstration, assessing technical execution and research quality at each stage.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Staff, Research and Development</w:t>
      </w:r>
      <w:r>
        <w:rPr>
          <w:rFonts w:ascii="Calibri" w:cs="Calibri" w:eastAsia="Calibri" w:hAnsi="Calibri"/>
          <w:sz w:val="20"/>
          <w:szCs w:val="20"/>
        </w:rPr>
        <w:t xml:space="preserve">	January 2025 – January 2026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IEEE Student Branch,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Led branch team at YESIST12 Maker Fair. Placed Top 25 at Data Slayer 2.0 Data Science Competition.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Tracked and distributed competition opportunities across IEEE and BELMAWA programs to branch members.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Study Group Member</w:t>
      </w:r>
      <w:r>
        <w:rPr>
          <w:rFonts w:ascii="Calibri" w:cs="Calibri" w:eastAsia="Calibri" w:hAnsi="Calibri"/>
          <w:sz w:val="20"/>
          <w:szCs w:val="20"/>
        </w:rPr>
        <w:t xml:space="preserve">	October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AI Lab,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Led the plant disease classifier project: data cleaning, computer vision model training, and Streamlit deployment. Delivered in one semester.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Won 3rd place at CCI Summit Kaggle, first time as team lead. Awarded 2nd Best Final Project in the Study Group.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Assistant Lecturer, Programming and Algorithms II</w:t>
      </w:r>
      <w:r>
        <w:rPr>
          <w:rFonts w:ascii="Calibri" w:cs="Calibri" w:eastAsia="Calibri" w:hAnsi="Calibri"/>
          <w:sz w:val="20"/>
          <w:szCs w:val="20"/>
        </w:rPr>
        <w:t xml:space="preserve">	February 2025 – June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School of Informatics,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Reviewed and corrected 200+ quiz questions with course lecturers before release to students.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Supported 40+ students with real-time debugging during live programming assessments.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Assistant Lecturer, Calculus I</w:t>
      </w:r>
      <w:r>
        <w:rPr>
          <w:rFonts w:ascii="Calibri" w:cs="Calibri" w:eastAsia="Calibri" w:hAnsi="Calibri"/>
          <w:sz w:val="20"/>
          <w:szCs w:val="20"/>
        </w:rPr>
        <w:t xml:space="preserve">	September 2024 – January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School of Informatics,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Tutored 40+ students across weekly sessions. Graded four major assessments.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Member, Data Research Division</w:t>
      </w:r>
      <w:r>
        <w:rPr>
          <w:rFonts w:ascii="Calibri" w:cs="Calibri" w:eastAsia="Calibri" w:hAnsi="Calibri"/>
          <w:sz w:val="20"/>
          <w:szCs w:val="20"/>
        </w:rPr>
        <w:t xml:space="preserve">	August 2023 – May 2024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Central Computer Improvement (CCI),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Built a multi-class sentiment detection model achieving 70% accuracy using LSTM, GRU, BERT, LightGBM, XGBoost, and CatBoost.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Education Volunteer</w:t>
      </w:r>
      <w:r>
        <w:rPr>
          <w:rFonts w:ascii="Calibri" w:cs="Calibri" w:eastAsia="Calibri" w:hAnsi="Calibri"/>
          <w:sz w:val="20"/>
          <w:szCs w:val="20"/>
        </w:rPr>
        <w:t xml:space="preserve">	September 2024 – November 2024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Bebras –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Designed and delivered computational thinking activities for junior high students at SMP Negeri 1 Pacet.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Registration Committee</w:t>
      </w:r>
      <w:r>
        <w:rPr>
          <w:rFonts w:ascii="Calibri" w:cs="Calibri" w:eastAsia="Calibri" w:hAnsi="Calibri"/>
          <w:sz w:val="20"/>
          <w:szCs w:val="20"/>
        </w:rPr>
        <w:t xml:space="preserve">	November 2025 – January 2026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Bebras – Telkom University Bureau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Cleaned and prepared registration data for 1,000+ participants nationwide using Python scripts and Google Sheets.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Paper Reviewer and Room Coordinator</w:t>
      </w:r>
      <w:r>
        <w:rPr>
          <w:rFonts w:ascii="Calibri" w:cs="Calibri" w:eastAsia="Calibri" w:hAnsi="Calibri"/>
          <w:sz w:val="20"/>
          <w:szCs w:val="20"/>
        </w:rPr>
        <w:t xml:space="preserve">	August 2024 – September 2024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ICoICT 2024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Reviewed 4 conference papers and returned corrections ahead of deadline.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Managed AV setup for 4 sessions, assisted 22 presenters.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Publications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Journal Papers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 et al.</w:t>
      </w:r>
      <w:r>
        <w:rPr>
          <w:rFonts w:ascii="Calibri" w:cs="Calibri" w:eastAsia="Calibri" w:hAnsi="Calibri"/>
          <w:sz w:val="20"/>
          <w:szCs w:val="20"/>
        </w:rPr>
        <w:t xml:space="preserve"> (2nd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Learning-Based Segmentation of Whole-Body Bone Scan Images Using nnU-Netv2</w:t>
      </w:r>
      <w:r>
        <w:rPr>
          <w:rFonts w:ascii="Calibri" w:cs="Calibri" w:eastAsia="Calibri" w:hAnsi="Calibri"/>
          <w:sz w:val="20"/>
          <w:szCs w:val="20"/>
        </w:rPr>
        <w:t xml:space="preserve">. International Journal of Intelligent Engineering and Systems (IJIES-INASS), 2025.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Conference Papers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, Rafiq Labib, Athila Ramdani Saputra, Edward Ferdian et al.</w:t>
      </w:r>
      <w:r>
        <w:rPr>
          <w:rFonts w:ascii="Calibri" w:cs="Calibri" w:eastAsia="Calibri" w:hAnsi="Calibri"/>
          <w:sz w:val="20"/>
          <w:szCs w:val="20"/>
        </w:rPr>
        <w:t xml:space="preserve"> (1st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 for Bird Identification Using Sound: Enhancing Avian Monitoring and Conservation in Indonesia and Malaysia</w:t>
      </w:r>
      <w:r>
        <w:rPr>
          <w:rFonts w:ascii="Calibri" w:cs="Calibri" w:eastAsia="Calibri" w:hAnsi="Calibri"/>
          <w:sz w:val="20"/>
          <w:szCs w:val="20"/>
        </w:rPr>
        <w:t xml:space="preserve">. ICITACEE 2025, IEEE Xplore.</w:t>
      </w:r>
      <w:r>
        <w:rPr>
          <w:rFonts w:ascii="Calibri" w:cs="Calibri" w:eastAsia="Calibri" w:hAnsi="Calibri"/>
          <w:sz w:val="20"/>
          <w:szCs w:val="20"/>
        </w:rPr>
        <w:t xml:space="preserve"> https://ieeexplore.ieee.org/document/11233192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Preprints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, Ida Bagus Indrabudhi Kusuma, Yolanda Rahma Chrysti, Nasywa Kamila</w:t>
      </w:r>
      <w:r>
        <w:rPr>
          <w:rFonts w:ascii="Calibri" w:cs="Calibri" w:eastAsia="Calibri" w:hAnsi="Calibri"/>
          <w:sz w:val="20"/>
          <w:szCs w:val="20"/>
        </w:rPr>
        <w:t xml:space="preserve"> (2nd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From Segmentation to Biomarker Quantification: A Deep Learning Framework for Metastases Detection in Bone Scans</w:t>
      </w:r>
      <w:r>
        <w:rPr>
          <w:rFonts w:ascii="Calibri" w:cs="Calibri" w:eastAsia="Calibri" w:hAnsi="Calibri"/>
          <w:sz w:val="20"/>
          <w:szCs w:val="20"/>
        </w:rPr>
        <w:t xml:space="preserve">. SSRN, 2025.</w:t>
      </w:r>
      <w:r>
        <w:rPr>
          <w:rFonts w:ascii="Calibri" w:cs="Calibri" w:eastAsia="Calibri" w:hAnsi="Calibri"/>
          <w:sz w:val="20"/>
          <w:szCs w:val="20"/>
        </w:rPr>
        <w:t xml:space="preserve"> https://ssrn.com/abstract=5187453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Datasets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/>
      </w:r>
      <w:r>
        <w:rPr>
          <w:rFonts w:ascii="Calibri" w:cs="Calibri" w:eastAsia="Calibri" w:hAnsi="Calibri"/>
          <w:sz w:val="20"/>
          <w:szCs w:val="20"/>
        </w:rPr>
        <w:t xml:space="preserve"> (2nd author).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Whole-Body Bone Scintigraphy Segmentation Masks: Ground-Truth Annotations for Bone Area Segmentation</w:t>
      </w:r>
      <w:r>
        <w:rPr>
          <w:rFonts w:ascii="Calibri" w:cs="Calibri" w:eastAsia="Calibri" w:hAnsi="Calibri"/>
          <w:sz w:val="20"/>
          <w:szCs w:val="20"/>
        </w:rPr>
        <w:t xml:space="preserve">. Zenodo, 2025.</w:t>
      </w:r>
      <w:r>
        <w:rPr>
          <w:rFonts w:ascii="Calibri" w:cs="Calibri" w:eastAsia="Calibri" w:hAnsi="Calibri"/>
          <w:sz w:val="20"/>
          <w:szCs w:val="20"/>
        </w:rPr>
        <w:t xml:space="preserve"> https://zenodo.org/records/20342310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Selected Projects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Bone Metastasis Diagnosis Framework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Lead Coder · Ministry of Higher Education RI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Hotspot detection with YOLOv8: mAP@0.5 = 0.599. Skeletal segmentation with nnU-Net v2 across 12 anatomical regions: IoU 0.879.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Patient-level AUC 0.956 with XGBoost and LightGBM, surpassing EXINI (0.83–0.88) and BONENAVI (0.84–0.89), both in clinical use at the time.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Deep Learning for Bird Sound Identification</w:t>
      </w:r>
      <w:r>
        <w:rPr>
          <w:rFonts w:ascii="Calibri" w:cs="Calibri" w:eastAsia="Calibri" w:hAnsi="Calibri"/>
          <w:sz w:val="20"/>
          <w:szCs w:val="20"/>
        </w:rPr>
        <w:t xml:space="preserve">	November 2024 – August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Research Lead · Telkom University · Universiti Malaysia Sarawak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Fine-tuned BirdNET v2.4 with MixIT source separation on 12,511 recordings across 219 endemic and endangered species in Indonesia, Malaysia, and Borneo.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Macro F1 improved 44.1% over baseline. Field-validated at Bandung Zoo and Malaysia National Zoo under uncontrolled conditions.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Driver Fatigue Detection</w:t>
      </w:r>
      <w:r>
        <w:rPr>
          <w:rFonts w:ascii="Calibri" w:cs="Calibri" w:eastAsia="Calibri" w:hAnsi="Calibri"/>
          <w:sz w:val="20"/>
          <w:szCs w:val="20"/>
        </w:rPr>
        <w:t xml:space="preserve">	March 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AI Engineer Intern · Bandung Techno Park × Trans Track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Macro F1 0.78 on real mining fleet dashcam footage, 11% above the company's existing production model.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a 3-service Docker stack serving a live async cloud-review API with risk escalation for nighttime hours and repeat fatigue events.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Multimodal Deepfake Detection</w:t>
      </w:r>
      <w:r>
        <w:rPr>
          <w:rFonts w:ascii="Calibri" w:cs="Calibri" w:eastAsia="Calibri" w:hAnsi="Calibri"/>
          <w:sz w:val="20"/>
          <w:szCs w:val="20"/>
        </w:rPr>
        <w:t xml:space="preserve">	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Research Lead · AI Lab Focused Group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One model detecting both video and audio manipulation without knowing the manipulation type at inference time.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Intra-dataset F1 0.94. Cross-dataset F1 0.60 after domain-adversarial training on 223,445 segments from PolyglotFake, FakeAVCeleb, HiDF, CelebDFv2, and FF++.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Telplastina: Multi-Task CXR Analysis Platform</w:t>
      </w:r>
      <w:r>
        <w:rPr>
          <w:rFonts w:ascii="Calibri" w:cs="Calibri" w:eastAsia="Calibri" w:hAnsi="Calibri"/>
          <w:sz w:val="20"/>
          <w:szCs w:val="20"/>
        </w:rPr>
        <w:t xml:space="preserve">	2026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Classification and Segmentation Module Lead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Led two of five AI modules within a clinical CXR platform: 20+ disease pathology classifier and organ segmentation.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Both modules deployed as microservices for the team's web app and desktop app through shared API endpoints.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Awards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Paper Award. </w:t>
      </w:r>
      <w:r>
        <w:rPr>
          <w:rFonts w:ascii="Calibri" w:cs="Calibri" w:eastAsia="Calibri" w:hAnsi="Calibri"/>
          <w:sz w:val="20"/>
          <w:szCs w:val="20"/>
        </w:rPr>
        <w:t xml:space="preserve">ADIKARA 2025, School of Computing, Telkom University. Diabetic mellitus detection from retina fundus images. Team lead.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Proposal Honorable Mention. </w:t>
      </w:r>
      <w:r>
        <w:rPr>
          <w:rFonts w:ascii="Calibri" w:cs="Calibri" w:eastAsia="Calibri" w:hAnsi="Calibri"/>
          <w:sz w:val="20"/>
          <w:szCs w:val="20"/>
        </w:rPr>
        <w:t xml:space="preserve">ADIKARA 2024, School of Computing, Telkom University. Non-invasive diabetes mellitus detection from tongue images using MobileNet and ViT.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National Qualifier, D3/D4/S1 Category. </w:t>
      </w:r>
      <w:r>
        <w:rPr>
          <w:rFonts w:ascii="Calibri" w:cs="Calibri" w:eastAsia="Calibri" w:hAnsi="Calibri"/>
          <w:sz w:val="20"/>
          <w:szCs w:val="20"/>
        </w:rPr>
        <w:t xml:space="preserve">Samsung Solve for Tomorrow 2025, Samsung Indonesia.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Top 25. </w:t>
      </w:r>
      <w:r>
        <w:rPr>
          <w:rFonts w:ascii="Calibri" w:cs="Calibri" w:eastAsia="Calibri" w:hAnsi="Calibri"/>
          <w:sz w:val="20"/>
          <w:szCs w:val="20"/>
        </w:rPr>
        <w:t xml:space="preserve">Data Slayer 2.0 Data Science Competition, Hima Data Science Telkom University Purwokerto,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3rd Place. </w:t>
      </w:r>
      <w:r>
        <w:rPr>
          <w:rFonts w:ascii="Calibri" w:cs="Calibri" w:eastAsia="Calibri" w:hAnsi="Calibri"/>
          <w:sz w:val="20"/>
          <w:szCs w:val="20"/>
        </w:rPr>
        <w:t xml:space="preserve">CCI Summit Kaggle Data Research Competition, Telkom University, October 2024.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Skills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 Frameworks: </w:t>
      </w:r>
      <w:r>
        <w:rPr>
          <w:rFonts w:ascii="Calibri" w:cs="Calibri" w:eastAsia="Calibri" w:hAnsi="Calibri"/>
          <w:sz w:val="20"/>
          <w:szCs w:val="20"/>
        </w:rPr>
        <w:t xml:space="preserve">PyTorch, TensorFlow, Transformers, nnU-Net v2, XGBoost, LightGBM, BiomedCLIP, VideoMAE, Whisper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Computer Vision and Audio: </w:t>
      </w:r>
      <w:r>
        <w:rPr>
          <w:rFonts w:ascii="Calibri" w:cs="Calibri" w:eastAsia="Calibri" w:hAnsi="Calibri"/>
          <w:sz w:val="20"/>
          <w:szCs w:val="20"/>
        </w:rPr>
        <w:t xml:space="preserve">OpenCV, MediaPipe, librosa, Scikit-learn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MLOps: </w:t>
      </w:r>
      <w:r>
        <w:rPr>
          <w:rFonts w:ascii="Calibri" w:cs="Calibri" w:eastAsia="Calibri" w:hAnsi="Calibri"/>
          <w:sz w:val="20"/>
          <w:szCs w:val="20"/>
        </w:rPr>
        <w:t xml:space="preserve">Docker, FastAPI, Git, pytest, Conda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Go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Tools: </w:t>
      </w:r>
      <w:r>
        <w:rPr>
          <w:rFonts w:ascii="Calibri" w:cs="Calibri" w:eastAsia="Calibri" w:hAnsi="Calibri"/>
          <w:sz w:val="20"/>
          <w:szCs w:val="20"/>
        </w:rPr>
        <w:t xml:space="preserve">Zotero, Parsifal, LaTeX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S1 Informatika (Bachelor of Informatics)</w:t>
      </w:r>
      <w:r>
        <w:rPr>
          <w:rFonts w:ascii="Calibri" w:cs="Calibri" w:eastAsia="Calibri" w:hAnsi="Calibri"/>
          <w:sz w:val="20"/>
          <w:szCs w:val="20"/>
        </w:rPr>
        <w:t xml:space="preserve">	May 2023 – Expected May 2027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Telkom University  ·  GPA 4.0/4.0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Languages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English – Professional working proficiency</w:t>
      </w:r>
    </w:p>
    <w:p>
      <w:p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ECCT: 3.75/4.0  ·  Telkom University Language Center, February 2024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>EPrT: 577/677  ·  Telkom University Language Center, August 2023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Indonesian – Native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Certifications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Microsoft Azure AI Fundamentals  ·  Microsoft  ·  March 2026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Python Lanjutan Gold  ·  Skilvul  ·  July 2024 – July 2026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0"/>
        <w:ind w:left="360" w:hanging="180"/>
      </w:pPr>
      <w:rPr>
        <w:rFonts w:ascii="Calibri" w:cs="Calibri" w:eastAsia="Calibri" w:hAnsi="Calibri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2026-06-25T07:53:46.242Z</dcterms:created>
  <dcterms:modified xsi:type="dcterms:W3CDTF">2026-06-25T07:53:46.248Z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