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附件：</w:t>
      </w:r>
    </w:p>
    <w:p>
      <w:pPr>
        <w:spacing w:line="360" w:lineRule="auto"/>
        <w:jc w:val="center"/>
        <w:rPr>
          <w:rFonts w:hint="eastAsia" w:ascii="宋体" w:hAnsi="宋体"/>
          <w:b/>
          <w:sz w:val="28"/>
        </w:rPr>
      </w:pPr>
      <w:bookmarkStart w:id="0" w:name="_GoBack"/>
      <w:r>
        <w:rPr>
          <w:rFonts w:hint="eastAsia" w:ascii="宋体" w:hAnsi="宋体"/>
          <w:b/>
          <w:sz w:val="28"/>
        </w:rPr>
        <w:t>中国农业银行股份有限公司账户签约收款B服务三方协议</w:t>
      </w:r>
    </w:p>
    <w:bookmarkEnd w:id="0"/>
    <w:p>
      <w:pPr>
        <w:spacing w:line="340" w:lineRule="atLeast"/>
        <w:jc w:val="center"/>
        <w:outlineLvl w:val="0"/>
        <w:rPr>
          <w:rFonts w:hint="eastAsia" w:ascii="宋体" w:hAnsi="宋体"/>
          <w:b/>
          <w:sz w:val="24"/>
        </w:rPr>
      </w:pPr>
    </w:p>
    <w:p>
      <w:pPr>
        <w:ind w:left="10" w:right="-23" w:rightChars="-11" w:firstLine="411" w:firstLineChars="195"/>
        <w:rPr>
          <w:rFonts w:hint="eastAsia" w:ascii="黑体" w:hAnsi="黑体" w:eastAsia="黑体" w:cs="黑体"/>
          <w:b/>
          <w:szCs w:val="21"/>
        </w:rPr>
      </w:pPr>
      <w:r>
        <w:rPr>
          <w:rFonts w:hint="eastAsia" w:ascii="黑体" w:hAnsi="宋体" w:eastAsia="黑体"/>
          <w:b/>
        </w:rPr>
        <w:t>尊敬的客户，欢迎您使用账户签约收款B服务。</w:t>
      </w:r>
      <w:r>
        <w:rPr>
          <w:rFonts w:hint="eastAsia" w:ascii="黑体" w:hAnsi="黑体" w:eastAsia="黑体" w:cs="黑体"/>
          <w:b/>
          <w:szCs w:val="21"/>
        </w:rPr>
        <w:t>为了维护您的权益，请在签署本协议前，仔细阅读本协议各条款（特别是含有黑体字标题或黑体字文字的条款），注意本协议涉及数量和质量、价款或者费用、履行期限和方式、安全注意事项和风险警示、售后服务、民事责任、管辖等内容的条款。请</w:t>
      </w:r>
      <w:r>
        <w:rPr>
          <w:rFonts w:ascii="黑体" w:hAnsi="黑体" w:eastAsia="黑体"/>
          <w:b/>
          <w:shd w:val="clear" w:color="auto" w:fill="FFFFFF"/>
        </w:rPr>
        <w:t>关注个人金融信息保护的相关法律法规，了解自己的权利义务，合理审慎提供个人金融信息，维护自身合法权益</w:t>
      </w:r>
      <w:r>
        <w:rPr>
          <w:rFonts w:hint="eastAsia" w:ascii="黑体" w:hAnsi="黑体" w:eastAsia="黑体" w:cs="黑体"/>
          <w:b/>
          <w:szCs w:val="21"/>
        </w:rPr>
        <w:t>。如您有疑问或不明之处，请咨询您的律师和有关专业人士。如需进行业务咨询和投诉，请拨打农业银行客服热线：95599。</w:t>
      </w:r>
    </w:p>
    <w:p>
      <w:r>
        <w:rPr>
          <w:rFonts w:hint="eastAsia" w:ascii="黑体" w:hAnsi="宋体" w:eastAsia="黑体"/>
          <w:b/>
        </w:rPr>
        <w:t xml:space="preserve">    《账户签约收款B服务三方协议》已经由</w:t>
      </w:r>
      <w:r>
        <w:rPr>
          <w:rFonts w:hint="eastAsia" w:ascii="黑体" w:hAnsi="宋体" w:eastAsia="黑体"/>
          <w:b/>
          <w:u w:val="single"/>
        </w:rPr>
        <w:t xml:space="preserve">                          </w:t>
      </w:r>
      <w:r>
        <w:rPr>
          <w:rFonts w:hint="eastAsia" w:ascii="黑体" w:hAnsi="宋体" w:eastAsia="黑体"/>
          <w:b/>
        </w:rPr>
        <w:t>（即为甲方）和中国农业银行股份有限公司（即为乙方）共同签署，您（即为丙方）点击确认即接受协议各条款，本协议生效。</w:t>
      </w:r>
    </w:p>
    <w:p>
      <w:pPr>
        <w:ind w:firstLine="512" w:firstLineChars="244"/>
        <w:rPr>
          <w:rFonts w:hint="eastAsia"/>
        </w:rPr>
      </w:pPr>
    </w:p>
    <w:p>
      <w:pPr>
        <w:spacing w:line="340" w:lineRule="atLeast"/>
        <w:ind w:firstLine="420"/>
        <w:outlineLvl w:val="0"/>
        <w:rPr>
          <w:rFonts w:hint="eastAsia" w:ascii="宋体" w:hAnsi="宋体"/>
          <w:b/>
        </w:rPr>
      </w:pPr>
      <w:r>
        <w:rPr>
          <w:rFonts w:hint="eastAsia" w:ascii="宋体" w:hAnsi="宋体"/>
          <w:b/>
        </w:rPr>
        <w:t>第一条  账户签约收款B方式说明</w:t>
      </w:r>
    </w:p>
    <w:p>
      <w:pPr>
        <w:spacing w:line="340" w:lineRule="atLeast"/>
        <w:ind w:firstLine="420" w:firstLineChars="200"/>
        <w:outlineLvl w:val="0"/>
        <w:rPr>
          <w:rFonts w:hint="eastAsia" w:ascii="宋体" w:hAnsi="宋体"/>
        </w:rPr>
      </w:pPr>
      <w:r>
        <w:rPr>
          <w:rFonts w:hint="eastAsia" w:ascii="宋体" w:hAnsi="宋体"/>
        </w:rPr>
        <w:t>1</w:t>
      </w:r>
      <w:r>
        <w:rPr>
          <w:rFonts w:hint="eastAsia" w:ascii="宋体" w:hAnsi="宋体"/>
          <w:kern w:val="0"/>
        </w:rPr>
        <w:t>.</w:t>
      </w:r>
      <w:r>
        <w:rPr>
          <w:rFonts w:hint="eastAsia" w:ascii="宋体" w:hAnsi="宋体"/>
        </w:rPr>
        <w:t>丙方为甲方</w:t>
      </w:r>
      <w:r>
        <w:rPr>
          <w:rFonts w:hint="eastAsia"/>
        </w:rPr>
        <w:t>电子商务平台</w:t>
      </w:r>
      <w:r>
        <w:rPr>
          <w:rFonts w:hint="eastAsia" w:ascii="宋体" w:hAnsi="宋体"/>
        </w:rPr>
        <w:t>上的实名注册客户，持有甲方注册账户。</w:t>
      </w:r>
    </w:p>
    <w:p>
      <w:pPr>
        <w:spacing w:line="340" w:lineRule="atLeast"/>
        <w:ind w:firstLine="420"/>
        <w:outlineLvl w:val="0"/>
        <w:rPr>
          <w:rFonts w:hint="eastAsia" w:ascii="宋体" w:hAnsi="宋体"/>
        </w:rPr>
      </w:pPr>
      <w:r>
        <w:rPr>
          <w:rFonts w:hint="eastAsia" w:ascii="宋体" w:hAnsi="宋体"/>
        </w:rPr>
        <w:t>2</w:t>
      </w:r>
      <w:r>
        <w:rPr>
          <w:rFonts w:hint="eastAsia" w:ascii="宋体" w:hAnsi="宋体"/>
          <w:kern w:val="0"/>
        </w:rPr>
        <w:t>.</w:t>
      </w:r>
      <w:r>
        <w:rPr>
          <w:rFonts w:hint="eastAsia" w:ascii="宋体" w:hAnsi="宋体"/>
        </w:rPr>
        <w:t>丙方需指定乙方账户作为扣款账户。</w:t>
      </w:r>
    </w:p>
    <w:p>
      <w:pPr>
        <w:spacing w:line="340" w:lineRule="atLeast"/>
        <w:ind w:firstLine="420"/>
        <w:outlineLvl w:val="0"/>
        <w:rPr>
          <w:rFonts w:hint="eastAsia" w:ascii="宋体" w:hAnsi="宋体"/>
        </w:rPr>
      </w:pPr>
      <w:r>
        <w:rPr>
          <w:rFonts w:hint="eastAsia" w:ascii="宋体" w:hAnsi="宋体"/>
        </w:rPr>
        <w:t>3</w:t>
      </w:r>
      <w:r>
        <w:rPr>
          <w:rFonts w:hint="eastAsia" w:ascii="宋体" w:hAnsi="宋体"/>
          <w:kern w:val="0"/>
        </w:rPr>
        <w:t>.</w:t>
      </w:r>
      <w:r>
        <w:rPr>
          <w:rFonts w:hint="eastAsia" w:ascii="宋体" w:hAnsi="宋体"/>
        </w:rPr>
        <w:t>丙方按照甲方和乙方提供的操作流程将其在甲方的注册账户和在乙方的扣款账户进行绑定。</w:t>
      </w:r>
    </w:p>
    <w:p>
      <w:pPr>
        <w:spacing w:line="340" w:lineRule="atLeast"/>
        <w:ind w:firstLine="420"/>
        <w:outlineLvl w:val="0"/>
        <w:rPr>
          <w:rFonts w:hint="eastAsia" w:ascii="宋体" w:hAnsi="宋体"/>
        </w:rPr>
      </w:pPr>
      <w:r>
        <w:rPr>
          <w:rFonts w:hint="eastAsia" w:ascii="宋体" w:hAnsi="宋体"/>
        </w:rPr>
        <w:t>4</w:t>
      </w:r>
      <w:r>
        <w:rPr>
          <w:rFonts w:hint="eastAsia" w:ascii="宋体" w:hAnsi="宋体"/>
          <w:kern w:val="0"/>
        </w:rPr>
        <w:t>.</w:t>
      </w:r>
      <w:r>
        <w:rPr>
          <w:rFonts w:hint="eastAsia" w:ascii="宋体" w:hAnsi="宋体"/>
        </w:rPr>
        <w:t>丙方进行网上支付时，如果选择使用账户签约收款B方式的，</w:t>
      </w:r>
      <w:r>
        <w:rPr>
          <w:rFonts w:hint="eastAsia" w:ascii="黑体" w:hAnsi="宋体" w:eastAsia="黑体"/>
          <w:b/>
        </w:rPr>
        <w:t>扣款只需提供其在甲方的注册账户及安全认证信息。</w:t>
      </w:r>
      <w:r>
        <w:rPr>
          <w:rFonts w:hint="eastAsia" w:ascii="宋体" w:hAnsi="宋体"/>
        </w:rPr>
        <w:t>甲方根据客户的实名注册信息和客户选择账户签约收款B方式的信息向乙方发出扣款指令，乙方按照甲方的扣款指令从丙方的扣款账户中进行扣款。</w:t>
      </w:r>
    </w:p>
    <w:p>
      <w:pPr>
        <w:spacing w:line="340" w:lineRule="atLeast"/>
        <w:ind w:firstLine="420"/>
        <w:outlineLvl w:val="0"/>
        <w:rPr>
          <w:rFonts w:hint="eastAsia" w:ascii="宋体" w:hAnsi="宋体"/>
          <w:b/>
        </w:rPr>
      </w:pPr>
      <w:r>
        <w:rPr>
          <w:rFonts w:hint="eastAsia" w:ascii="宋体" w:hAnsi="宋体"/>
          <w:b/>
        </w:rPr>
        <w:t>第二条  甲方的权利和义务</w:t>
      </w:r>
    </w:p>
    <w:p>
      <w:pPr>
        <w:spacing w:line="340" w:lineRule="atLeast"/>
        <w:ind w:firstLine="420"/>
        <w:outlineLvl w:val="0"/>
        <w:rPr>
          <w:rFonts w:hint="eastAsia" w:ascii="宋体" w:hAnsi="宋体"/>
        </w:rPr>
      </w:pPr>
      <w:r>
        <w:rPr>
          <w:rFonts w:hint="eastAsia" w:ascii="宋体" w:hAnsi="宋体"/>
        </w:rPr>
        <w:t>1</w:t>
      </w:r>
      <w:r>
        <w:rPr>
          <w:rFonts w:hint="eastAsia" w:ascii="宋体" w:hAnsi="宋体"/>
          <w:kern w:val="0"/>
        </w:rPr>
        <w:t>.</w:t>
      </w:r>
      <w:r>
        <w:rPr>
          <w:rFonts w:hint="eastAsia" w:ascii="宋体" w:hAnsi="宋体"/>
        </w:rPr>
        <w:t>甲方应当为丙方使用账户签约收款B方式提供使用指引。</w:t>
      </w:r>
    </w:p>
    <w:p>
      <w:pPr>
        <w:spacing w:line="340" w:lineRule="atLeast"/>
        <w:ind w:firstLine="420"/>
        <w:outlineLvl w:val="0"/>
        <w:rPr>
          <w:rFonts w:hint="eastAsia" w:ascii="宋体" w:hAnsi="宋体"/>
        </w:rPr>
      </w:pPr>
      <w:r>
        <w:rPr>
          <w:rFonts w:hint="eastAsia" w:ascii="宋体" w:hAnsi="宋体"/>
          <w:kern w:val="0"/>
        </w:rPr>
        <w:t>2.</w:t>
      </w:r>
      <w:r>
        <w:rPr>
          <w:rFonts w:hint="eastAsia" w:ascii="宋体" w:hAnsi="宋体"/>
        </w:rPr>
        <w:t>丙方选择使用账户签约收款B方式后，甲方应当及时、准确地向乙方发送扣款指令。甲方不得篡改丙方指令，不得假冒丙方指令，也不得增加扣款金额；甲方如实施上述行为，致使乙方提供扣款等支付结算服务被丙方提出权利主张的，由甲方负责处理并承担全部责任，由此给丙方、乙方造成的损失由甲方负责赔偿。</w:t>
      </w:r>
    </w:p>
    <w:p>
      <w:pPr>
        <w:spacing w:line="340" w:lineRule="atLeast"/>
        <w:ind w:firstLine="420"/>
        <w:outlineLvl w:val="0"/>
        <w:rPr>
          <w:rFonts w:hint="eastAsia" w:ascii="宋体" w:hAnsi="宋体"/>
        </w:rPr>
      </w:pPr>
      <w:r>
        <w:rPr>
          <w:rFonts w:hint="eastAsia" w:ascii="宋体" w:hAnsi="宋体"/>
          <w:kern w:val="0"/>
        </w:rPr>
        <w:t>3.</w:t>
      </w:r>
      <w:r>
        <w:rPr>
          <w:rFonts w:hint="eastAsia" w:ascii="宋体" w:hAnsi="宋体"/>
        </w:rPr>
        <w:t>甲方负责向丙方提供商品或者服务、业务查询、咨询、投诉、打印及发送发票等电子商务服务。</w:t>
      </w:r>
    </w:p>
    <w:p>
      <w:pPr>
        <w:spacing w:line="340" w:lineRule="atLeast"/>
        <w:ind w:firstLine="420"/>
        <w:outlineLvl w:val="0"/>
        <w:rPr>
          <w:rFonts w:hint="eastAsia" w:ascii="黑体" w:hAnsi="宋体" w:eastAsia="黑体"/>
          <w:b/>
        </w:rPr>
      </w:pPr>
      <w:r>
        <w:rPr>
          <w:rFonts w:hint="eastAsia" w:ascii="宋体" w:hAnsi="宋体"/>
          <w:kern w:val="0"/>
        </w:rPr>
        <w:t>4.</w:t>
      </w:r>
      <w:r>
        <w:rPr>
          <w:rFonts w:hint="eastAsia" w:ascii="黑体" w:hAnsi="宋体" w:eastAsia="黑体"/>
          <w:b/>
        </w:rPr>
        <w:t>甲方应当保证交易数据的安全性、保密性、完整性和不可抵赖性，并负责处理因安全认证不足而产生的差错交易及风险交易，承担相关责任。</w:t>
      </w:r>
    </w:p>
    <w:p>
      <w:pPr>
        <w:spacing w:line="340" w:lineRule="atLeast"/>
        <w:ind w:firstLine="420"/>
        <w:outlineLvl w:val="0"/>
        <w:rPr>
          <w:rFonts w:hint="eastAsia" w:ascii="黑体" w:hAnsi="宋体" w:eastAsia="黑体"/>
          <w:b/>
        </w:rPr>
      </w:pPr>
      <w:r>
        <w:rPr>
          <w:rFonts w:hint="eastAsia" w:ascii="宋体" w:hAnsi="宋体"/>
        </w:rPr>
        <w:t>5.</w:t>
      </w:r>
      <w:r>
        <w:rPr>
          <w:rFonts w:hint="eastAsia"/>
          <w:color w:val="000000"/>
        </w:rPr>
        <w:t>甲方通过非柜面渠道向非同名银行账户和支付账户转账的日累计限额、笔数和年累计限额等，已在甲乙双方之间另行签订的相关协议中约定，各方将按其约定执行。</w:t>
      </w:r>
    </w:p>
    <w:p>
      <w:pPr>
        <w:spacing w:line="340" w:lineRule="atLeast"/>
        <w:ind w:firstLine="420"/>
        <w:outlineLvl w:val="0"/>
        <w:rPr>
          <w:rFonts w:hint="eastAsia" w:ascii="宋体" w:hAnsi="宋体"/>
          <w:b/>
        </w:rPr>
      </w:pPr>
      <w:r>
        <w:rPr>
          <w:rFonts w:hint="eastAsia" w:ascii="宋体" w:hAnsi="宋体"/>
          <w:b/>
        </w:rPr>
        <w:t>第三条  乙方的权利和义务</w:t>
      </w:r>
    </w:p>
    <w:p>
      <w:pPr>
        <w:spacing w:line="340" w:lineRule="atLeast"/>
        <w:ind w:firstLine="420"/>
        <w:outlineLvl w:val="0"/>
        <w:rPr>
          <w:rFonts w:hint="eastAsia" w:ascii="黑体" w:hAnsi="宋体" w:eastAsia="黑体"/>
        </w:rPr>
      </w:pPr>
      <w:r>
        <w:rPr>
          <w:rFonts w:hint="eastAsia" w:ascii="宋体" w:hAnsi="宋体"/>
        </w:rPr>
        <w:t>1</w:t>
      </w:r>
      <w:r>
        <w:rPr>
          <w:rFonts w:hint="eastAsia" w:ascii="宋体" w:hAnsi="宋体"/>
          <w:kern w:val="0"/>
        </w:rPr>
        <w:t>.</w:t>
      </w:r>
      <w:r>
        <w:rPr>
          <w:rFonts w:hint="eastAsia" w:ascii="宋体" w:hAnsi="宋体"/>
        </w:rPr>
        <w:t>乙方按照甲方的扣款指令实施扣款行为，将丙方款项划转至甲乙双方约定的账户，为丙方和甲方提供支付结算服务。</w:t>
      </w:r>
      <w:r>
        <w:rPr>
          <w:rFonts w:hint="eastAsia" w:ascii="黑体" w:hAnsi="宋体" w:eastAsia="黑体"/>
          <w:b/>
        </w:rPr>
        <w:t>乙方对甲方发送的扣款指令不做实质性审查。</w:t>
      </w:r>
    </w:p>
    <w:p>
      <w:pPr>
        <w:spacing w:line="340" w:lineRule="atLeast"/>
        <w:ind w:firstLine="420"/>
        <w:outlineLvl w:val="0"/>
        <w:rPr>
          <w:rFonts w:hint="eastAsia" w:ascii="黑体" w:hAnsi="宋体" w:eastAsia="黑体"/>
          <w:b/>
        </w:rPr>
      </w:pPr>
      <w:r>
        <w:rPr>
          <w:rFonts w:hint="eastAsia" w:ascii="黑体" w:hAnsi="宋体" w:eastAsia="黑体"/>
          <w:b/>
        </w:rPr>
        <w:t>2.乙方对以下情况不承担责任：</w:t>
      </w:r>
    </w:p>
    <w:p>
      <w:pPr>
        <w:spacing w:line="340" w:lineRule="atLeast"/>
        <w:ind w:firstLine="420"/>
        <w:outlineLvl w:val="0"/>
        <w:rPr>
          <w:rFonts w:hint="eastAsia" w:ascii="黑体" w:hAnsi="宋体" w:eastAsia="黑体"/>
          <w:b/>
        </w:rPr>
      </w:pPr>
      <w:r>
        <w:rPr>
          <w:rFonts w:hint="eastAsia" w:ascii="黑体" w:hAnsi="宋体" w:eastAsia="黑体"/>
          <w:b/>
        </w:rPr>
        <w:t>（1）甲方发送的扣款指令信息不完整、不明确、存在乱码等无法执行扣款指令的；</w:t>
      </w:r>
    </w:p>
    <w:p>
      <w:pPr>
        <w:spacing w:line="340" w:lineRule="atLeast"/>
        <w:ind w:firstLine="420"/>
        <w:outlineLvl w:val="0"/>
        <w:rPr>
          <w:rFonts w:hint="eastAsia" w:ascii="黑体" w:hAnsi="宋体" w:eastAsia="黑体"/>
          <w:b/>
        </w:rPr>
      </w:pPr>
      <w:r>
        <w:rPr>
          <w:rFonts w:hint="eastAsia" w:ascii="黑体" w:hAnsi="宋体" w:eastAsia="黑体"/>
          <w:b/>
        </w:rPr>
        <w:t>（2）甲方故意或过失发送错误的扣款指令，乙方据此指令执行后发生扣款差错的；</w:t>
      </w:r>
    </w:p>
    <w:p>
      <w:pPr>
        <w:spacing w:line="340" w:lineRule="atLeast"/>
        <w:ind w:firstLine="420"/>
        <w:outlineLvl w:val="0"/>
        <w:rPr>
          <w:rFonts w:hint="eastAsia" w:ascii="黑体" w:hAnsi="宋体" w:eastAsia="黑体"/>
          <w:b/>
        </w:rPr>
      </w:pPr>
      <w:r>
        <w:rPr>
          <w:rFonts w:hint="eastAsia" w:ascii="黑体" w:hAnsi="宋体" w:eastAsia="黑体"/>
          <w:b/>
        </w:rPr>
        <w:t>（3）因甲方提供虚假证明文件致使客户资金被错误扣划的；</w:t>
      </w:r>
    </w:p>
    <w:p>
      <w:pPr>
        <w:spacing w:line="340" w:lineRule="atLeast"/>
        <w:ind w:firstLine="420"/>
        <w:outlineLvl w:val="0"/>
        <w:rPr>
          <w:rFonts w:hint="eastAsia" w:ascii="黑体" w:hAnsi="宋体" w:eastAsia="黑体"/>
          <w:b/>
        </w:rPr>
      </w:pPr>
      <w:r>
        <w:rPr>
          <w:rFonts w:hint="eastAsia" w:ascii="黑体" w:hAnsi="宋体" w:eastAsia="黑体"/>
          <w:b/>
        </w:rPr>
        <w:t>（4）丙方与甲方因交易关系产生纠纷的；</w:t>
      </w:r>
    </w:p>
    <w:p>
      <w:pPr>
        <w:spacing w:line="340" w:lineRule="atLeast"/>
        <w:ind w:firstLine="420"/>
        <w:outlineLvl w:val="0"/>
        <w:rPr>
          <w:rFonts w:hint="eastAsia" w:ascii="黑体" w:hAnsi="宋体" w:eastAsia="黑体"/>
          <w:b/>
        </w:rPr>
      </w:pPr>
      <w:r>
        <w:rPr>
          <w:rFonts w:hint="eastAsia" w:ascii="黑体" w:hAnsi="宋体" w:eastAsia="黑体"/>
          <w:b/>
        </w:rPr>
        <w:t>（5）丙方账户余额不足的；</w:t>
      </w:r>
    </w:p>
    <w:p>
      <w:pPr>
        <w:spacing w:line="340" w:lineRule="atLeast"/>
        <w:ind w:firstLine="420"/>
        <w:outlineLvl w:val="0"/>
        <w:rPr>
          <w:rFonts w:hint="eastAsia" w:ascii="黑体" w:hAnsi="宋体" w:eastAsia="黑体"/>
          <w:b/>
        </w:rPr>
      </w:pPr>
      <w:r>
        <w:rPr>
          <w:rFonts w:hint="eastAsia" w:ascii="黑体" w:hAnsi="宋体" w:eastAsia="黑体"/>
          <w:b/>
        </w:rPr>
        <w:t>（6）丙方或者甲方账户被依法冻结无法实施扣款行为的；</w:t>
      </w:r>
    </w:p>
    <w:p>
      <w:pPr>
        <w:spacing w:line="340" w:lineRule="atLeast"/>
        <w:ind w:firstLine="420"/>
        <w:outlineLvl w:val="0"/>
        <w:rPr>
          <w:rFonts w:hint="eastAsia" w:ascii="黑体" w:hAnsi="宋体" w:eastAsia="黑体"/>
          <w:b/>
        </w:rPr>
      </w:pPr>
      <w:r>
        <w:rPr>
          <w:rFonts w:hint="eastAsia" w:ascii="黑体" w:hAnsi="宋体" w:eastAsia="黑体"/>
          <w:b/>
        </w:rPr>
        <w:t>（7）其他不可抗力或者不可归责于乙方的情况。</w:t>
      </w:r>
    </w:p>
    <w:p>
      <w:pPr>
        <w:spacing w:line="340" w:lineRule="atLeast"/>
        <w:ind w:firstLine="420"/>
        <w:outlineLvl w:val="0"/>
        <w:rPr>
          <w:rFonts w:hint="eastAsia" w:ascii="宋体" w:hAnsi="宋体"/>
          <w:b/>
        </w:rPr>
      </w:pPr>
      <w:r>
        <w:rPr>
          <w:rFonts w:hint="eastAsia" w:ascii="宋体" w:hAnsi="宋体"/>
          <w:b/>
        </w:rPr>
        <w:t>第四条  丙方的权利和义务</w:t>
      </w:r>
    </w:p>
    <w:p>
      <w:pPr>
        <w:spacing w:line="340" w:lineRule="atLeast"/>
        <w:ind w:firstLine="420"/>
        <w:outlineLvl w:val="0"/>
        <w:rPr>
          <w:rFonts w:hint="eastAsia" w:ascii="宋体" w:hAnsi="宋体"/>
        </w:rPr>
      </w:pPr>
      <w:r>
        <w:rPr>
          <w:rFonts w:hint="eastAsia" w:ascii="宋体" w:hAnsi="宋体"/>
        </w:rPr>
        <w:t>1</w:t>
      </w:r>
      <w:r>
        <w:rPr>
          <w:rFonts w:hint="eastAsia" w:ascii="宋体" w:hAnsi="宋体"/>
          <w:kern w:val="0"/>
        </w:rPr>
        <w:t>.</w:t>
      </w:r>
      <w:r>
        <w:rPr>
          <w:rFonts w:hint="eastAsia" w:ascii="宋体" w:hAnsi="宋体"/>
        </w:rPr>
        <w:t>丙方应当按照甲方和乙方提供的指引，正确指定扣款账户，注册实名账户，并将实名账户和扣款账户绑定。</w:t>
      </w:r>
    </w:p>
    <w:p>
      <w:pPr>
        <w:spacing w:line="340" w:lineRule="atLeast"/>
        <w:ind w:firstLine="420"/>
        <w:outlineLvl w:val="0"/>
        <w:rPr>
          <w:rFonts w:hint="eastAsia" w:ascii="黑体" w:hAnsi="宋体" w:eastAsia="黑体"/>
          <w:b/>
        </w:rPr>
      </w:pPr>
      <w:r>
        <w:rPr>
          <w:rFonts w:hint="eastAsia" w:ascii="黑体" w:hAnsi="宋体" w:eastAsia="黑体"/>
          <w:b/>
        </w:rPr>
        <w:t>2.乙方执行扣款指令后，丙方不能要求变更或者撤销扣款指令。</w:t>
      </w:r>
    </w:p>
    <w:p>
      <w:pPr>
        <w:spacing w:line="340" w:lineRule="atLeast"/>
        <w:ind w:firstLine="420"/>
        <w:outlineLvl w:val="0"/>
        <w:rPr>
          <w:rFonts w:hint="eastAsia" w:ascii="黑体" w:hAnsi="宋体" w:eastAsia="黑体"/>
          <w:b/>
        </w:rPr>
      </w:pPr>
      <w:r>
        <w:rPr>
          <w:rFonts w:hint="eastAsia" w:ascii="宋体" w:hAnsi="宋体"/>
        </w:rPr>
        <w:t>3</w:t>
      </w:r>
      <w:r>
        <w:rPr>
          <w:rFonts w:hint="eastAsia" w:ascii="宋体" w:hAnsi="宋体"/>
          <w:kern w:val="0"/>
        </w:rPr>
        <w:t>.</w:t>
      </w:r>
      <w:r>
        <w:rPr>
          <w:rFonts w:hint="eastAsia" w:ascii="宋体" w:hAnsi="宋体"/>
        </w:rPr>
        <w:t>丙方同意，其使用甲方的实名注册账户并选择账户签约收款B方式的，乙方即可实施扣款行为。</w:t>
      </w:r>
      <w:r>
        <w:rPr>
          <w:rFonts w:hint="eastAsia" w:ascii="黑体" w:hAnsi="宋体" w:eastAsia="黑体"/>
          <w:b/>
        </w:rPr>
        <w:t>丙方应当妥善保管本人在甲方的实名注册账户信息及相关密码，不得向他人透露，因丙方泄露实名注册账户信息和密码造成的资金损失，甲乙双方不承担责任。</w:t>
      </w:r>
    </w:p>
    <w:p>
      <w:pPr>
        <w:spacing w:line="340" w:lineRule="atLeast"/>
        <w:ind w:firstLine="420"/>
        <w:outlineLvl w:val="0"/>
        <w:rPr>
          <w:rFonts w:hint="eastAsia" w:ascii="黑体" w:hAnsi="宋体" w:eastAsia="黑体"/>
          <w:b/>
        </w:rPr>
      </w:pPr>
      <w:r>
        <w:rPr>
          <w:rFonts w:hint="eastAsia" w:ascii="黑体" w:hAnsi="宋体" w:eastAsia="黑体"/>
          <w:b/>
        </w:rPr>
        <w:t>4.丙方应妥善保管本人在乙方的银行卡关键信息（密码、有效期、CVN2码、绑定的手机号等）、网上银行证书及其密码、身份证件信息，不得泄露上述信息。因丙方保管不善造成的损失，甲乙双方不承担责任。</w:t>
      </w:r>
    </w:p>
    <w:p>
      <w:pPr>
        <w:spacing w:line="340" w:lineRule="atLeast"/>
        <w:ind w:firstLine="420"/>
        <w:outlineLvl w:val="0"/>
        <w:rPr>
          <w:rFonts w:hint="eastAsia" w:ascii="黑体" w:hAnsi="宋体" w:eastAsia="黑体"/>
          <w:b/>
        </w:rPr>
      </w:pPr>
      <w:r>
        <w:rPr>
          <w:rFonts w:hint="eastAsia" w:ascii="黑体" w:hAnsi="宋体" w:eastAsia="黑体"/>
          <w:b/>
        </w:rPr>
        <w:t>5.丙方知悉并同意，对于甲方电子商务平台和乙方网上支付系统而言，使用丙方拥有的相关账户、证书和密码即视为丙方行为，行为后果由丙方承担。</w:t>
      </w:r>
    </w:p>
    <w:p>
      <w:pPr>
        <w:spacing w:line="340" w:lineRule="atLeast"/>
        <w:ind w:firstLine="420"/>
        <w:outlineLvl w:val="0"/>
        <w:rPr>
          <w:rFonts w:hint="eastAsia" w:ascii="宋体" w:hAnsi="宋体"/>
        </w:rPr>
      </w:pPr>
      <w:r>
        <w:rPr>
          <w:rFonts w:hint="eastAsia" w:ascii="宋体" w:hAnsi="宋体"/>
        </w:rPr>
        <w:t>6</w:t>
      </w:r>
      <w:r>
        <w:rPr>
          <w:rFonts w:hint="eastAsia" w:ascii="宋体" w:hAnsi="宋体"/>
          <w:kern w:val="0"/>
        </w:rPr>
        <w:t>.</w:t>
      </w:r>
      <w:r>
        <w:rPr>
          <w:rFonts w:hint="eastAsia" w:ascii="宋体" w:hAnsi="宋体"/>
        </w:rPr>
        <w:t>丙方应当按照甲方</w:t>
      </w:r>
      <w:r>
        <w:rPr>
          <w:rFonts w:hint="eastAsia"/>
        </w:rPr>
        <w:t>电子商务平台</w:t>
      </w:r>
      <w:r>
        <w:rPr>
          <w:rFonts w:hint="eastAsia" w:ascii="宋体" w:hAnsi="宋体"/>
        </w:rPr>
        <w:t>公布的收费标准向甲方支付账户签约收款B服务的各项费用。</w:t>
      </w:r>
    </w:p>
    <w:p>
      <w:pPr>
        <w:spacing w:line="340" w:lineRule="atLeast"/>
        <w:ind w:firstLine="420"/>
        <w:outlineLvl w:val="0"/>
        <w:rPr>
          <w:rFonts w:hint="eastAsia" w:ascii="宋体" w:hAnsi="宋体"/>
        </w:rPr>
      </w:pPr>
      <w:r>
        <w:rPr>
          <w:rFonts w:hint="eastAsia" w:ascii="宋体" w:hAnsi="宋体"/>
        </w:rPr>
        <w:t>7.</w:t>
      </w:r>
      <w:r>
        <w:rPr>
          <w:rFonts w:hint="eastAsia" w:ascii="宋体" w:hAnsi="宋体"/>
          <w:kern w:val="0"/>
        </w:rPr>
        <w:t>丙</w:t>
      </w:r>
      <w:r>
        <w:rPr>
          <w:rFonts w:hint="eastAsia"/>
          <w:color w:val="000000"/>
        </w:rPr>
        <w:t>方通过非柜面渠道向非同名银行账户和支付账户转账的日累计限额、笔数和年累计限额等，已由乙丙双方另行约定，各方将按其约定执行。</w:t>
      </w:r>
    </w:p>
    <w:p>
      <w:pPr>
        <w:spacing w:line="340" w:lineRule="atLeast"/>
        <w:ind w:firstLine="420"/>
        <w:outlineLvl w:val="0"/>
        <w:rPr>
          <w:rFonts w:hint="eastAsia" w:ascii="宋体" w:hAnsi="宋体"/>
          <w:b/>
        </w:rPr>
      </w:pPr>
      <w:r>
        <w:rPr>
          <w:rFonts w:hint="eastAsia" w:ascii="宋体" w:hAnsi="宋体"/>
          <w:b/>
        </w:rPr>
        <w:t>第五条  异常账务处理</w:t>
      </w:r>
    </w:p>
    <w:p>
      <w:pPr>
        <w:spacing w:line="340" w:lineRule="atLeast"/>
        <w:ind w:firstLine="420"/>
        <w:outlineLvl w:val="0"/>
        <w:rPr>
          <w:rFonts w:hint="eastAsia" w:ascii="宋体" w:hAnsi="宋体"/>
        </w:rPr>
      </w:pPr>
      <w:r>
        <w:rPr>
          <w:rFonts w:hint="eastAsia" w:ascii="宋体" w:hAnsi="宋体"/>
        </w:rPr>
        <w:t>1</w:t>
      </w:r>
      <w:r>
        <w:rPr>
          <w:rFonts w:hint="eastAsia" w:ascii="宋体" w:hAnsi="宋体"/>
          <w:kern w:val="0"/>
        </w:rPr>
        <w:t>.</w:t>
      </w:r>
      <w:r>
        <w:rPr>
          <w:rFonts w:hint="eastAsia" w:ascii="宋体" w:hAnsi="宋体"/>
        </w:rPr>
        <w:t>丙方发现扣款金额与其交易金额不符的，应当及时向甲方进行查询或者投诉，由甲方和乙方核对扣款信息。</w:t>
      </w:r>
    </w:p>
    <w:p>
      <w:pPr>
        <w:spacing w:line="340" w:lineRule="atLeast"/>
        <w:ind w:firstLine="420"/>
        <w:rPr>
          <w:rFonts w:hint="eastAsia" w:ascii="宋体" w:hAnsi="宋体"/>
        </w:rPr>
      </w:pPr>
      <w:r>
        <w:rPr>
          <w:rFonts w:hint="eastAsia" w:ascii="宋体" w:hAnsi="宋体"/>
        </w:rPr>
        <w:t>2</w:t>
      </w:r>
      <w:r>
        <w:rPr>
          <w:rFonts w:hint="eastAsia" w:ascii="宋体" w:hAnsi="宋体"/>
          <w:kern w:val="0"/>
        </w:rPr>
        <w:t>.</w:t>
      </w:r>
      <w:r>
        <w:rPr>
          <w:rFonts w:hint="eastAsia" w:ascii="宋体" w:hAnsi="宋体"/>
        </w:rPr>
        <w:t>确因甲方安全认证不足或其他等原因造成丙方账户扣款差错的，由甲方负责补偿丙方资金损失。</w:t>
      </w:r>
    </w:p>
    <w:p>
      <w:pPr>
        <w:spacing w:line="340" w:lineRule="atLeast"/>
        <w:ind w:firstLine="420"/>
        <w:outlineLvl w:val="0"/>
        <w:rPr>
          <w:rFonts w:hint="eastAsia" w:ascii="宋体" w:hAnsi="宋体"/>
          <w:b/>
        </w:rPr>
      </w:pPr>
      <w:r>
        <w:rPr>
          <w:rFonts w:hint="eastAsia" w:ascii="宋体" w:hAnsi="宋体"/>
          <w:b/>
        </w:rPr>
        <w:t>第六条  争议解决</w:t>
      </w:r>
    </w:p>
    <w:p>
      <w:pPr>
        <w:spacing w:line="340" w:lineRule="atLeast"/>
        <w:ind w:firstLine="420" w:firstLineChars="200"/>
        <w:rPr>
          <w:rFonts w:hint="eastAsia" w:ascii="宋体" w:hAnsi="宋体"/>
        </w:rPr>
      </w:pPr>
      <w:r>
        <w:rPr>
          <w:rFonts w:hint="eastAsia" w:ascii="宋体" w:hAnsi="宋体"/>
        </w:rPr>
        <w:t>本协议履行过程中，如果发生争议，可由三方协商解决，因本合同引起的或本合同有关的任何争议，均提请深圳国际仲裁院（深圳仲裁委员会）按照该会仲裁规则进行仲裁，仲裁裁决是终局的，对各方均有约束力。</w:t>
      </w:r>
    </w:p>
    <w:p>
      <w:pPr>
        <w:spacing w:line="340" w:lineRule="atLeast"/>
        <w:ind w:firstLine="420" w:firstLineChars="200"/>
        <w:rPr>
          <w:rFonts w:hint="eastAsia" w:ascii="宋体" w:hAnsi="宋体"/>
        </w:rPr>
      </w:pPr>
      <w:r>
        <w:rPr>
          <w:rFonts w:hint="eastAsia" w:ascii="宋体" w:hAnsi="宋体"/>
        </w:rPr>
        <w:t>在诉讼期间，本协议不涉及争议的条款仍需履行。</w:t>
      </w:r>
    </w:p>
    <w:p>
      <w:pPr>
        <w:spacing w:line="340" w:lineRule="atLeast"/>
        <w:ind w:firstLine="420"/>
        <w:outlineLvl w:val="0"/>
        <w:rPr>
          <w:rFonts w:hint="eastAsia" w:ascii="宋体" w:hAnsi="宋体"/>
          <w:b/>
        </w:rPr>
      </w:pPr>
      <w:r>
        <w:rPr>
          <w:rFonts w:hint="eastAsia" w:ascii="宋体" w:hAnsi="宋体"/>
          <w:b/>
        </w:rPr>
        <w:t>第七条  协议终止</w:t>
      </w:r>
    </w:p>
    <w:p>
      <w:pPr>
        <w:spacing w:line="340" w:lineRule="atLeast"/>
        <w:ind w:firstLine="420"/>
        <w:outlineLvl w:val="0"/>
        <w:rPr>
          <w:rFonts w:hint="eastAsia" w:ascii="宋体" w:hAnsi="宋体"/>
        </w:rPr>
      </w:pPr>
      <w:r>
        <w:rPr>
          <w:rFonts w:hint="eastAsia" w:ascii="宋体" w:hAnsi="宋体"/>
        </w:rPr>
        <w:t>1</w:t>
      </w:r>
      <w:r>
        <w:rPr>
          <w:rFonts w:hint="eastAsia" w:ascii="宋体" w:hAnsi="宋体"/>
          <w:kern w:val="0"/>
        </w:rPr>
        <w:t>.</w:t>
      </w:r>
      <w:r>
        <w:rPr>
          <w:rFonts w:hint="eastAsia" w:ascii="宋体" w:hAnsi="宋体"/>
        </w:rPr>
        <w:t>丙方有权在线解除本协议。丙方解除本协议的，本协议终止，甲乙双方不再为丙方提供账户签约收款B服务。</w:t>
      </w:r>
    </w:p>
    <w:p>
      <w:pPr>
        <w:spacing w:line="340" w:lineRule="atLeast"/>
        <w:ind w:firstLine="420"/>
        <w:outlineLvl w:val="0"/>
        <w:rPr>
          <w:rFonts w:hint="eastAsia" w:ascii="宋体" w:hAnsi="宋体"/>
        </w:rPr>
      </w:pPr>
      <w:r>
        <w:rPr>
          <w:rFonts w:hint="eastAsia" w:ascii="宋体" w:hAnsi="宋体"/>
        </w:rPr>
        <w:t>2</w:t>
      </w:r>
      <w:r>
        <w:rPr>
          <w:rFonts w:hint="eastAsia" w:ascii="宋体" w:hAnsi="宋体"/>
          <w:kern w:val="0"/>
        </w:rPr>
        <w:t>.</w:t>
      </w:r>
      <w:r>
        <w:rPr>
          <w:rFonts w:hint="eastAsia" w:ascii="宋体" w:hAnsi="宋体"/>
        </w:rPr>
        <w:t>甲方和乙方协商一致拟终止业务合作关系的，应当由甲方提前十五个工作日在其网站上公告。公告期满，本协议自动终止，甲方和乙方将不再为丙方办理账户签约收款B服务。</w:t>
      </w:r>
    </w:p>
    <w:p/>
    <w:p/>
    <w:p/>
    <w:p/>
    <w:p/>
    <w:p/>
    <w:p/>
    <w:p>
      <w:pPr>
        <w:rPr>
          <w:rFonts w:hint="eastAsia" w:ascii="仿宋" w:hAnsi="仿宋" w:eastAsia="仿宋" w:cs="仿宋"/>
          <w:color w:val="000000"/>
          <w:sz w:val="28"/>
          <w:szCs w:val="28"/>
        </w:rPr>
      </w:pPr>
      <w:r>
        <w:rPr>
          <w:rFonts w:hint="eastAsia" w:ascii="仿宋" w:hAnsi="仿宋" w:eastAsia="仿宋" w:cs="仿宋"/>
          <w:sz w:val="28"/>
          <w:szCs w:val="28"/>
        </w:rPr>
        <w:t>附：</w:t>
      </w:r>
      <w:r>
        <w:rPr>
          <w:rFonts w:hint="eastAsia" w:ascii="仿宋" w:hAnsi="仿宋" w:eastAsia="仿宋" w:cs="仿宋"/>
          <w:color w:val="000000"/>
          <w:sz w:val="28"/>
          <w:szCs w:val="28"/>
        </w:rPr>
        <w:t>应用场景和使用范围(网站、APP)</w:t>
      </w:r>
    </w:p>
    <w:tbl>
      <w:tblPr>
        <w:tblStyle w:val="2"/>
        <w:tblW w:w="0" w:type="auto"/>
        <w:tblInd w:w="0" w:type="dxa"/>
        <w:tblLayout w:type="fixed"/>
        <w:tblCellMar>
          <w:top w:w="15" w:type="dxa"/>
          <w:left w:w="15" w:type="dxa"/>
          <w:bottom w:w="15" w:type="dxa"/>
          <w:right w:w="15" w:type="dxa"/>
        </w:tblCellMar>
      </w:tblPr>
      <w:tblGrid>
        <w:gridCol w:w="615"/>
        <w:gridCol w:w="1035"/>
        <w:gridCol w:w="1095"/>
        <w:gridCol w:w="4395"/>
        <w:gridCol w:w="780"/>
        <w:gridCol w:w="915"/>
      </w:tblGrid>
      <w:tr>
        <w:tblPrEx>
          <w:tblCellMar>
            <w:top w:w="15" w:type="dxa"/>
            <w:left w:w="15" w:type="dxa"/>
            <w:bottom w:w="15" w:type="dxa"/>
            <w:right w:w="15" w:type="dxa"/>
          </w:tblCellMar>
        </w:tblPrEx>
        <w:trPr>
          <w:trHeight w:val="570" w:hRule="atLeast"/>
        </w:trPr>
        <w:tc>
          <w:tcPr>
            <w:tcW w:w="615" w:type="dxa"/>
            <w:vMerge w:val="restart"/>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b/>
                <w:color w:val="000000"/>
                <w:sz w:val="22"/>
                <w:szCs w:val="22"/>
              </w:rPr>
            </w:pPr>
            <w:r>
              <w:rPr>
                <w:rFonts w:hint="eastAsia" w:ascii="宋体" w:hAnsi="宋体" w:cs="宋体"/>
                <w:b/>
                <w:color w:val="000000"/>
                <w:kern w:val="0"/>
                <w:sz w:val="22"/>
                <w:szCs w:val="22"/>
                <w:lang w:bidi="ar"/>
              </w:rPr>
              <w:t>账户签约收款B</w:t>
            </w:r>
          </w:p>
        </w:tc>
        <w:tc>
          <w:tcPr>
            <w:tcW w:w="1035"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b/>
                <w:color w:val="000000"/>
                <w:sz w:val="22"/>
                <w:szCs w:val="22"/>
              </w:rPr>
            </w:pPr>
            <w:r>
              <w:rPr>
                <w:rFonts w:ascii="仿宋_GB2312" w:hAnsi="宋体" w:eastAsia="仿宋_GB2312" w:cs="仿宋_GB2312"/>
                <w:b/>
                <w:color w:val="000000"/>
                <w:kern w:val="0"/>
                <w:sz w:val="22"/>
                <w:szCs w:val="22"/>
                <w:lang w:bidi="ar"/>
              </w:rPr>
              <w:t>应用场景</w:t>
            </w:r>
          </w:p>
        </w:tc>
        <w:tc>
          <w:tcPr>
            <w:tcW w:w="4395" w:type="dxa"/>
            <w:tcBorders>
              <w:top w:val="single" w:color="000000" w:sz="4" w:space="0"/>
              <w:left w:val="single" w:color="000000" w:sz="4" w:space="0"/>
              <w:bottom w:val="single" w:color="000000" w:sz="4" w:space="0"/>
              <w:right w:val="single" w:color="000000" w:sz="4" w:space="0"/>
            </w:tcBorders>
            <w:noWrap w:val="0"/>
            <w:vAlign w:val="top"/>
          </w:tcPr>
          <w:p>
            <w:pPr>
              <w:widowControl/>
              <w:jc w:val="center"/>
              <w:textAlignment w:val="top"/>
              <w:rPr>
                <w:rFonts w:ascii="仿宋_GB2312" w:hAnsi="宋体" w:eastAsia="仿宋_GB2312" w:cs="仿宋_GB2312"/>
                <w:b/>
                <w:color w:val="000000"/>
                <w:sz w:val="22"/>
                <w:szCs w:val="22"/>
              </w:rPr>
            </w:pPr>
            <w:r>
              <w:rPr>
                <w:rFonts w:ascii="仿宋_GB2312" w:hAnsi="宋体" w:eastAsia="仿宋_GB2312" w:cs="仿宋_GB2312"/>
                <w:b/>
                <w:color w:val="000000"/>
                <w:kern w:val="0"/>
                <w:sz w:val="22"/>
                <w:szCs w:val="22"/>
                <w:lang w:bidi="ar"/>
              </w:rPr>
              <w:t>商品类别</w:t>
            </w:r>
          </w:p>
        </w:tc>
        <w:tc>
          <w:tcPr>
            <w:tcW w:w="780" w:type="dxa"/>
            <w:tcBorders>
              <w:top w:val="single" w:color="000000" w:sz="4" w:space="0"/>
              <w:left w:val="single" w:color="000000" w:sz="4" w:space="0"/>
              <w:bottom w:val="single" w:color="000000" w:sz="4" w:space="0"/>
              <w:right w:val="single" w:color="000000" w:sz="4" w:space="0"/>
            </w:tcBorders>
            <w:noWrap w:val="0"/>
            <w:vAlign w:val="top"/>
          </w:tcPr>
          <w:p>
            <w:pPr>
              <w:widowControl/>
              <w:jc w:val="center"/>
              <w:textAlignment w:val="top"/>
              <w:rPr>
                <w:rFonts w:ascii="仿宋_GB2312" w:hAnsi="宋体" w:eastAsia="仿宋_GB2312" w:cs="仿宋_GB2312"/>
                <w:b/>
                <w:color w:val="000000"/>
                <w:sz w:val="22"/>
                <w:szCs w:val="22"/>
              </w:rPr>
            </w:pPr>
            <w:r>
              <w:rPr>
                <w:rFonts w:ascii="仿宋_GB2312" w:hAnsi="宋体" w:eastAsia="仿宋_GB2312" w:cs="仿宋_GB2312"/>
                <w:b/>
                <w:color w:val="000000"/>
                <w:kern w:val="0"/>
                <w:sz w:val="22"/>
                <w:szCs w:val="22"/>
                <w:lang w:bidi="ar"/>
              </w:rPr>
              <w:t>单笔限额</w:t>
            </w:r>
          </w:p>
        </w:tc>
        <w:tc>
          <w:tcPr>
            <w:tcW w:w="915" w:type="dxa"/>
            <w:tcBorders>
              <w:top w:val="single" w:color="000000" w:sz="4" w:space="0"/>
              <w:left w:val="single" w:color="000000" w:sz="4" w:space="0"/>
              <w:bottom w:val="single" w:color="000000" w:sz="4" w:space="0"/>
              <w:right w:val="single" w:color="000000" w:sz="4" w:space="0"/>
            </w:tcBorders>
            <w:noWrap w:val="0"/>
            <w:vAlign w:val="top"/>
          </w:tcPr>
          <w:p>
            <w:pPr>
              <w:widowControl/>
              <w:jc w:val="center"/>
              <w:textAlignment w:val="top"/>
              <w:rPr>
                <w:rFonts w:ascii="仿宋_GB2312" w:hAnsi="宋体" w:eastAsia="仿宋_GB2312" w:cs="仿宋_GB2312"/>
                <w:b/>
                <w:color w:val="000000"/>
                <w:sz w:val="22"/>
                <w:szCs w:val="22"/>
              </w:rPr>
            </w:pPr>
            <w:r>
              <w:rPr>
                <w:rFonts w:ascii="仿宋_GB2312" w:hAnsi="宋体" w:eastAsia="仿宋_GB2312" w:cs="仿宋_GB2312"/>
                <w:b/>
                <w:color w:val="000000"/>
                <w:kern w:val="0"/>
                <w:sz w:val="22"/>
                <w:szCs w:val="22"/>
                <w:lang w:bidi="ar"/>
              </w:rPr>
              <w:t>日累计限额</w:t>
            </w:r>
          </w:p>
        </w:tc>
      </w:tr>
      <w:tr>
        <w:tblPrEx>
          <w:tblCellMar>
            <w:top w:w="15" w:type="dxa"/>
            <w:left w:w="15" w:type="dxa"/>
            <w:bottom w:w="15" w:type="dxa"/>
            <w:right w:w="15" w:type="dxa"/>
          </w:tblCellMar>
        </w:tblPrEx>
        <w:trPr>
          <w:trHeight w:val="54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restart"/>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付款人与收款人、付款人与付款人开户机构、收款人与账户签约收款B服务机构分别签订账户签约收款B服务协议</w:t>
            </w: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便民缴费</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水、电、煤、燃气、供暖、废弃物处理费用、物业费、交通出行费用</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54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政府服务税费</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涉及政府服务（社会保险、社会保障服务）的税收、财政非税收入、五险一金</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285"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公益捐款</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向社会福利与公益慈善组织的捐款</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54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通讯服务费</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固话、手机、网络、电视等缴费</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285"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还款</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信用卡还款、银行业金融机构贷款还款</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285"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保险费用</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保费缴纳（不含投资型保险）</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81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资金归集</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同一法人控股集团内收款、同一品牌特许经营类收款、具有合法资金收付协议关系的企业上下游资金归集等</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54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restart"/>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付款人、收款人及付款人开户机构同时签订三方账户签约收款B服务协议</w:t>
            </w: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教育培训费用</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限定为经教育主管部门、人社部门等有权部门批准成立的教育及培训类机构费用缴纳</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81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小额贷款公司贷款偿还</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540"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基金理财产品购买</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限定为金融机构发行的定期或定额基金理财产品</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r>
        <w:tblPrEx>
          <w:tblCellMar>
            <w:top w:w="15" w:type="dxa"/>
            <w:left w:w="15" w:type="dxa"/>
            <w:bottom w:w="15" w:type="dxa"/>
            <w:right w:w="15" w:type="dxa"/>
          </w:tblCellMar>
        </w:tblPrEx>
        <w:trPr>
          <w:trHeight w:val="285" w:hRule="atLeast"/>
        </w:trPr>
        <w:tc>
          <w:tcPr>
            <w:tcW w:w="61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b/>
                <w:color w:val="000000"/>
                <w:sz w:val="22"/>
                <w:szCs w:val="22"/>
              </w:rPr>
            </w:pPr>
          </w:p>
        </w:tc>
        <w:tc>
          <w:tcPr>
            <w:tcW w:w="103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10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保险费用</w:t>
            </w:r>
          </w:p>
        </w:tc>
        <w:tc>
          <w:tcPr>
            <w:tcW w:w="4395" w:type="dxa"/>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ascii="仿宋_GB2312" w:hAnsi="宋体" w:eastAsia="仿宋_GB2312" w:cs="仿宋_GB2312"/>
                <w:color w:val="000000"/>
                <w:sz w:val="22"/>
                <w:szCs w:val="22"/>
              </w:rPr>
            </w:pPr>
            <w:r>
              <w:rPr>
                <w:rFonts w:ascii="仿宋_GB2312" w:hAnsi="宋体" w:eastAsia="仿宋_GB2312" w:cs="仿宋_GB2312"/>
                <w:color w:val="000000"/>
                <w:kern w:val="0"/>
                <w:sz w:val="22"/>
                <w:szCs w:val="22"/>
                <w:lang w:bidi="ar"/>
              </w:rPr>
              <w:t>保费缴纳（投资型保险）</w:t>
            </w:r>
          </w:p>
        </w:tc>
        <w:tc>
          <w:tcPr>
            <w:tcW w:w="780"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c>
          <w:tcPr>
            <w:tcW w:w="915"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5万</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B0B6D"/>
    <w:rsid w:val="5E4B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2020-05-18T08:43:00Z</dcterms:created>
  <dc:creator>vanilla若芷</dc:creator>
  <cp:lastModifiedBy>vanilla若芷</cp:lastModifiedBy>
  <dcterms:modified xsi:type="dcterms:W3CDTF">2020-05-18T08:44:10Z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