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4263E"/>
        </w:rPr>
        <w:t>LAB 1 | CTI → SOC Investigation</w:t>
      </w:r>
    </w:p>
    <w:p>
      <w:pPr>
        <w:spacing w:after="300"/>
      </w:pPr>
      <w:r>
        <w:rPr>
          <w:b/>
          <w:color w:val="007F87"/>
          <w:sz w:val="22"/>
        </w:rPr>
        <w:t>MITRE ATT&amp;CK Mapping  •  AI-Enhanced Cybersecurity</w:t>
      </w:r>
    </w:p>
    <w:p>
      <w:pPr>
        <w:spacing w:after="320"/>
      </w:pPr>
      <w:r>
        <w:rPr>
          <w:b/>
          <w:sz w:val="19"/>
        </w:rPr>
      </w:r>
      <w:r>
        <w:rPr>
          <w:b/>
          <w:sz w:val="19"/>
        </w:rPr>
        <w:t>Group members: Lian Maor  |  Noy Mlynek</w:t>
      </w:r>
    </w:p>
    <w:p>
      <w:pPr>
        <w:pStyle w:val="Heading1"/>
        <w:pBdr>
          <w:bottom w:val="single" w:sz="12" w:color="007F87"/>
        </w:pBdr>
      </w:pPr>
      <w:r>
        <w:t>1. Selected CTI report</w:t>
      </w:r>
    </w:p>
    <w:p>
      <w:r>
        <w:t>Title: Welcome to Goot Camp: Tracking the Evolution of GOOTLOADER Operations</w:t>
      </w:r>
    </w:p>
    <w:p>
      <w:r>
        <w:t>Publisher: Mandiant (Google Cloud Threat Intelligence)  |  Date: January 26, 2023</w:t>
      </w:r>
    </w:p>
    <w:p>
      <w:r>
        <w:t>Authors: Govand Sinjari and Andy Morales</w:t>
      </w:r>
    </w:p>
    <w:p>
      <w:r>
        <w:t>Source: https://cloud.google.com/blog/topics/threat-intelligence/tracking-evolution-gootloader-operations/</w:t>
      </w:r>
    </w:p>
    <w:p>
      <w:pPr>
        <w:pStyle w:val="Heading2"/>
      </w:pPr>
      <w:r>
        <w:t>Attack summary (approximately 180 words)</w:t>
      </w:r>
    </w:p>
    <w:p>
      <w:r>
        <w:t>Mandiant documents the evolution of GOOTLOADER activity attributed to the threat cluster UNC2565, including a newer GOOTLOADER.POWERSHELL infection chain. The activity affected users across multiple industries and regions rather than a single named victim organization. The observed delivery pathway started when a user visited a compromised website associated with business-document searches and downloaded a malicious ZIP archive. After the user opened a JavaScript file inside, Windows Script Host launched the script. The downloader wrote another obfuscated script to a user profile directory and created a scheduled task to run it immediately and again at the next logon. The task therefore served both execution and persistence purposes. Subsequent script execution launched PowerShell, which contacted hard-coded remote domains and collected information such as the operating-system version, environment variables, running processes, and filenames. The collected data was encoded and sent to the attacker-controlled infrastructure in an HTTP Cookie header. The remote server then returned a payload that PowerShell executed, enabling further malware activity. The report provides a technical infection sequence; it does not establish that every possible subsequent attacker objective occurred in every infected environment.</w:t>
      </w:r>
    </w:p>
    <w:p>
      <w:pPr>
        <w:pStyle w:val="Heading1"/>
        <w:pBdr>
          <w:bottom w:val="single" w:sz="12" w:color="007F87"/>
        </w:pBdr>
      </w:pPr>
      <w:r>
        <w:t>2. Documented attack flow</w:t>
      </w:r>
    </w:p>
    <w:p>
      <w:r>
        <w:rPr>
          <w:b/>
          <w:color w:val="007F87"/>
          <w:sz w:val="18"/>
        </w:rPr>
        <w:t>Compromised website → ZIP download → user opens malicious .JS → WScript execution → obfuscated .JS file creation → scheduled task (immediate / next logon) → PowerShell → host discovery + C2 communication → payload execution</w:t>
      </w:r>
    </w:p>
    <w:p>
      <w:r>
        <w:rPr>
          <w:i/>
          <w:color w:val="526276"/>
          <w:sz w:val="17"/>
        </w:rPr>
        <w:t>Evidence boundary: Each stage above is reported for the GOOTLOADER.POWERSHELL variant. The site visit alone is not evidence of an automatic browser exploit. The later attacker objective is not assumed beyond what Mandiant documents.</w:t>
      </w:r>
    </w:p>
    <w:p>
      <w:pPr>
        <w:pStyle w:val="Heading1"/>
        <w:pBdr>
          <w:bottom w:val="single" w:sz="12" w:color="007F87"/>
        </w:pBdr>
      </w:pPr>
      <w:r>
        <w:t>3. ATT&amp;CK mapping table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cantSplit/>
        </w:trPr>
        <w:tc>
          <w:tcPr>
            <w:tcW w:type="dxa" w:w="1915"/>
            <w:shd w:fill="163D62"/>
            <w:vAlign w:val="center"/>
            <w:shd w:fill="14263E"/>
          </w:tcPr>
          <w:p>
            <w:pPr>
              <w:spacing w:after="40" w:before="40" w:line="250" w:lineRule="auto"/>
            </w:pPr>
            <w:r>
              <w:rPr>
                <w:rFonts w:ascii="Aptos" w:hAnsi="Aptos"/>
                <w:b/>
                <w:color w:val="FFFFFF"/>
                <w:sz w:val="15"/>
              </w:rPr>
              <w:t>Observed behavior</w:t>
            </w:r>
          </w:p>
        </w:tc>
        <w:tc>
          <w:tcPr>
            <w:tcW w:type="dxa" w:w="1037"/>
            <w:shd w:fill="163D62"/>
            <w:vAlign w:val="center"/>
            <w:shd w:fill="14263E"/>
          </w:tcPr>
          <w:p>
            <w:pPr>
              <w:spacing w:after="40" w:before="40" w:line="250" w:lineRule="auto"/>
            </w:pPr>
            <w:r>
              <w:rPr>
                <w:rFonts w:ascii="Aptos" w:hAnsi="Aptos"/>
                <w:b/>
                <w:color w:val="FFFFFF"/>
                <w:sz w:val="15"/>
              </w:rPr>
              <w:t>ATT&amp;CK tactic</w:t>
            </w:r>
          </w:p>
        </w:tc>
        <w:tc>
          <w:tcPr>
            <w:tcW w:type="dxa" w:w="2045"/>
            <w:shd w:fill="163D62"/>
            <w:vAlign w:val="center"/>
            <w:shd w:fill="14263E"/>
          </w:tcPr>
          <w:p>
            <w:pPr>
              <w:spacing w:after="40" w:before="40" w:line="250" w:lineRule="auto"/>
            </w:pPr>
            <w:r>
              <w:rPr>
                <w:rFonts w:ascii="Aptos" w:hAnsi="Aptos"/>
                <w:b/>
                <w:color w:val="FFFFFF"/>
                <w:sz w:val="15"/>
              </w:rPr>
              <w:t>Technique / ID</w:t>
            </w:r>
          </w:p>
        </w:tc>
        <w:tc>
          <w:tcPr>
            <w:tcW w:type="dxa" w:w="3168"/>
            <w:shd w:fill="163D62"/>
            <w:vAlign w:val="center"/>
            <w:shd w:fill="14263E"/>
          </w:tcPr>
          <w:p>
            <w:pPr>
              <w:spacing w:after="40" w:before="40" w:line="250" w:lineRule="auto"/>
            </w:pPr>
            <w:r>
              <w:rPr>
                <w:rFonts w:ascii="Aptos" w:hAnsi="Aptos"/>
                <w:b/>
                <w:color w:val="FFFFFF"/>
                <w:sz w:val="15"/>
              </w:rPr>
              <w:t>Source evidence and rationale</w:t>
            </w:r>
          </w:p>
        </w:tc>
        <w:tc>
          <w:tcPr>
            <w:tcW w:type="dxa" w:w="2592"/>
            <w:shd w:fill="163D62"/>
            <w:vAlign w:val="center"/>
            <w:shd w:fill="14263E"/>
          </w:tcPr>
          <w:p>
            <w:pPr>
              <w:spacing w:after="40" w:before="40" w:line="250" w:lineRule="auto"/>
            </w:pPr>
            <w:r>
              <w:rPr>
                <w:rFonts w:ascii="Aptos" w:hAnsi="Aptos"/>
                <w:b/>
                <w:color w:val="FFFFFF"/>
                <w:sz w:val="15"/>
              </w:rPr>
              <w:t>SOC telemetry / next step</w:t>
            </w:r>
          </w:p>
        </w:tc>
      </w:tr>
      <w:tr>
        <w:trPr>
          <w:cantSplit/>
        </w:trPr>
        <w:tc>
          <w:tcPr>
            <w:tcW w:type="dxa" w:w="1915"/>
            <w:vAlign w:val="center"/>
          </w:tcPr>
          <w:p>
            <w:pPr>
              <w:spacing w:after="40" w:before="40" w:line="250" w:lineRule="auto"/>
            </w:pPr>
            <w:r>
              <w:rPr>
                <w:rFonts w:ascii="Aptos" w:hAnsi="Aptos"/>
                <w:color w:val="14263E"/>
                <w:sz w:val="15"/>
              </w:rPr>
              <w:t>1. User opens .JS from a downloaded ZIP</w:t>
            </w:r>
          </w:p>
        </w:tc>
        <w:tc>
          <w:tcPr>
            <w:tcW w:type="dxa" w:w="1037"/>
            <w:vAlign w:val="center"/>
          </w:tcPr>
          <w:p>
            <w:pPr>
              <w:spacing w:after="40" w:before="40" w:line="250" w:lineRule="auto"/>
            </w:pPr>
            <w:r>
              <w:rPr>
                <w:rFonts w:ascii="Aptos" w:hAnsi="Aptos"/>
                <w:color w:val="14263E"/>
                <w:sz w:val="15"/>
              </w:rPr>
              <w:t>Execution</w:t>
            </w:r>
          </w:p>
        </w:tc>
        <w:tc>
          <w:tcPr>
            <w:tcW w:type="dxa" w:w="2045"/>
            <w:vAlign w:val="center"/>
          </w:tcPr>
          <w:p>
            <w:pPr>
              <w:spacing w:after="40" w:before="40" w:line="250" w:lineRule="auto"/>
            </w:pPr>
            <w:r>
              <w:rPr>
                <w:rFonts w:ascii="Aptos" w:hAnsi="Aptos"/>
                <w:color w:val="14263E"/>
                <w:sz w:val="15"/>
              </w:rPr>
              <w:t>User Execution: Malicious File (T1204.002)</w:t>
            </w:r>
          </w:p>
        </w:tc>
        <w:tc>
          <w:tcPr>
            <w:tcW w:type="dxa" w:w="3168"/>
            <w:vAlign w:val="center"/>
          </w:tcPr>
          <w:p>
            <w:pPr>
              <w:spacing w:after="40" w:before="40" w:line="250" w:lineRule="auto"/>
            </w:pPr>
            <w:r>
              <w:rPr>
                <w:rFonts w:ascii="Aptos" w:hAnsi="Aptos"/>
                <w:color w:val="14263E"/>
                <w:sz w:val="15"/>
              </w:rPr>
              <w:t>Mandiant states the user opens the ZIP and clicks the contained .JS. User action is needed for execution.</w:t>
            </w:r>
          </w:p>
        </w:tc>
        <w:tc>
          <w:tcPr>
            <w:tcW w:type="dxa" w:w="2592"/>
            <w:vAlign w:val="center"/>
          </w:tcPr>
          <w:p>
            <w:pPr>
              <w:spacing w:after="40" w:before="40" w:line="250" w:lineRule="auto"/>
            </w:pPr>
            <w:r>
              <w:rPr>
                <w:rFonts w:ascii="Aptos" w:hAnsi="Aptos"/>
                <w:color w:val="14263E"/>
                <w:sz w:val="15"/>
              </w:rPr>
              <w:t>Download / file events; inspect file origin, script hash and user activity.</w:t>
            </w:r>
          </w:p>
        </w:tc>
      </w:tr>
      <w:tr>
        <w:trPr>
          <w:cantSplit/>
        </w:trPr>
        <w:tc>
          <w:tcPr>
            <w:tcW w:type="dxa" w:w="1915"/>
            <w:vAlign w:val="center"/>
            <w:shd w:fill="EDF3F8"/>
            <w:shd w:fill="F1F5F9"/>
          </w:tcPr>
          <w:p>
            <w:pPr>
              <w:spacing w:after="40" w:before="40" w:line="250" w:lineRule="auto"/>
            </w:pPr>
            <w:r>
              <w:rPr>
                <w:rFonts w:ascii="Aptos" w:hAnsi="Aptos"/>
                <w:color w:val="14263E"/>
                <w:sz w:val="15"/>
              </w:rPr>
              <w:t>2. WScript.exe launches the malicious JavaScript</w:t>
            </w:r>
          </w:p>
        </w:tc>
        <w:tc>
          <w:tcPr>
            <w:tcW w:type="dxa" w:w="1037"/>
            <w:vAlign w:val="center"/>
            <w:shd w:fill="EDF3F8"/>
            <w:shd w:fill="F1F5F9"/>
          </w:tcPr>
          <w:p>
            <w:pPr>
              <w:spacing w:after="40" w:before="40" w:line="250" w:lineRule="auto"/>
            </w:pPr>
            <w:r>
              <w:rPr>
                <w:rFonts w:ascii="Aptos" w:hAnsi="Aptos"/>
                <w:color w:val="14263E"/>
                <w:sz w:val="15"/>
              </w:rPr>
              <w:t>Execution</w:t>
            </w:r>
          </w:p>
        </w:tc>
        <w:tc>
          <w:tcPr>
            <w:tcW w:type="dxa" w:w="2045"/>
            <w:vAlign w:val="center"/>
            <w:shd w:fill="EDF3F8"/>
            <w:shd w:fill="F1F5F9"/>
          </w:tcPr>
          <w:p>
            <w:pPr>
              <w:spacing w:after="40" w:before="40" w:line="250" w:lineRule="auto"/>
            </w:pPr>
            <w:r>
              <w:rPr>
                <w:rFonts w:ascii="Aptos" w:hAnsi="Aptos"/>
                <w:color w:val="14263E"/>
                <w:sz w:val="15"/>
              </w:rPr>
              <w:t>Command and Scripting Interpreter: JavaScript (T1059.007)</w:t>
            </w:r>
          </w:p>
        </w:tc>
        <w:tc>
          <w:tcPr>
            <w:tcW w:type="dxa" w:w="3168"/>
            <w:vAlign w:val="center"/>
            <w:shd w:fill="EDF3F8"/>
            <w:shd w:fill="F1F5F9"/>
          </w:tcPr>
          <w:p>
            <w:pPr>
              <w:spacing w:after="40" w:before="40" w:line="250" w:lineRule="auto"/>
            </w:pPr>
            <w:r>
              <w:rPr>
                <w:rFonts w:ascii="Aptos" w:hAnsi="Aptos"/>
                <w:color w:val="14263E"/>
                <w:sz w:val="15"/>
              </w:rPr>
              <w:t>The infection chain explicitly describes .JS execution using WScript.exe.</w:t>
            </w:r>
          </w:p>
        </w:tc>
        <w:tc>
          <w:tcPr>
            <w:tcW w:type="dxa" w:w="2592"/>
            <w:vAlign w:val="center"/>
            <w:shd w:fill="EDF3F8"/>
            <w:shd w:fill="F1F5F9"/>
          </w:tcPr>
          <w:p>
            <w:pPr>
              <w:spacing w:after="40" w:before="40" w:line="250" w:lineRule="auto"/>
            </w:pPr>
            <w:r>
              <w:rPr>
                <w:rFonts w:ascii="Aptos" w:hAnsi="Aptos"/>
                <w:color w:val="14263E"/>
                <w:sz w:val="15"/>
              </w:rPr>
              <w:t>EDR process creation; examine wscript.exe command line, parent and script path.</w:t>
            </w:r>
          </w:p>
        </w:tc>
      </w:tr>
      <w:tr>
        <w:trPr>
          <w:cantSplit/>
        </w:trPr>
        <w:tc>
          <w:tcPr>
            <w:tcW w:type="dxa" w:w="1915"/>
            <w:vAlign w:val="center"/>
          </w:tcPr>
          <w:p>
            <w:pPr>
              <w:spacing w:after="40" w:before="40" w:line="250" w:lineRule="auto"/>
            </w:pPr>
            <w:r>
              <w:rPr>
                <w:rFonts w:ascii="Aptos" w:hAnsi="Aptos"/>
                <w:color w:val="14263E"/>
                <w:sz w:val="15"/>
              </w:rPr>
              <w:t>3. Malware creates a task that reruns JScript at logon</w:t>
            </w:r>
          </w:p>
        </w:tc>
        <w:tc>
          <w:tcPr>
            <w:tcW w:type="dxa" w:w="1037"/>
            <w:vAlign w:val="center"/>
          </w:tcPr>
          <w:p>
            <w:pPr>
              <w:spacing w:after="40" w:before="40" w:line="250" w:lineRule="auto"/>
            </w:pPr>
            <w:r>
              <w:rPr>
                <w:rFonts w:ascii="Aptos" w:hAnsi="Aptos"/>
                <w:color w:val="14263E"/>
                <w:sz w:val="15"/>
              </w:rPr>
              <w:t>Persistence / Execution</w:t>
            </w:r>
          </w:p>
        </w:tc>
        <w:tc>
          <w:tcPr>
            <w:tcW w:type="dxa" w:w="2045"/>
            <w:vAlign w:val="center"/>
          </w:tcPr>
          <w:p>
            <w:pPr>
              <w:spacing w:after="40" w:before="40" w:line="250" w:lineRule="auto"/>
            </w:pPr>
            <w:r>
              <w:rPr>
                <w:rFonts w:ascii="Aptos" w:hAnsi="Aptos"/>
                <w:color w:val="14263E"/>
                <w:sz w:val="15"/>
              </w:rPr>
              <w:t>Scheduled Task/Job: Scheduled Task (T1053.005)</w:t>
            </w:r>
          </w:p>
        </w:tc>
        <w:tc>
          <w:tcPr>
            <w:tcW w:type="dxa" w:w="3168"/>
            <w:vAlign w:val="center"/>
          </w:tcPr>
          <w:p>
            <w:pPr>
              <w:spacing w:after="40" w:before="40" w:line="250" w:lineRule="auto"/>
            </w:pPr>
            <w:r>
              <w:rPr>
                <w:rFonts w:ascii="Aptos" w:hAnsi="Aptos"/>
                <w:color w:val="14263E"/>
                <w:sz w:val="15"/>
              </w:rPr>
              <w:t>Mandiant explicitly describes a scheduled task run immediately and again at next user logon.</w:t>
            </w:r>
          </w:p>
        </w:tc>
        <w:tc>
          <w:tcPr>
            <w:tcW w:type="dxa" w:w="2592"/>
            <w:vAlign w:val="center"/>
          </w:tcPr>
          <w:p>
            <w:pPr>
              <w:spacing w:after="40" w:before="40" w:line="250" w:lineRule="auto"/>
            </w:pPr>
            <w:r>
              <w:rPr>
                <w:rFonts w:ascii="Aptos" w:hAnsi="Aptos"/>
                <w:color w:val="14263E"/>
                <w:sz w:val="15"/>
              </w:rPr>
              <w:t>Task Scheduler logs / EDR; inspect task author, trigger, actions and timeline.</w:t>
            </w:r>
          </w:p>
        </w:tc>
      </w:tr>
      <w:tr>
        <w:trPr>
          <w:cantSplit/>
        </w:trPr>
        <w:tc>
          <w:tcPr>
            <w:tcW w:type="dxa" w:w="1915"/>
            <w:vAlign w:val="center"/>
            <w:shd w:fill="EDF3F8"/>
            <w:shd w:fill="F1F5F9"/>
          </w:tcPr>
          <w:p>
            <w:pPr>
              <w:spacing w:after="40" w:before="40" w:line="250" w:lineRule="auto"/>
            </w:pPr>
            <w:r>
              <w:rPr>
                <w:rFonts w:ascii="Aptos" w:hAnsi="Aptos"/>
                <w:color w:val="14263E"/>
                <w:sz w:val="15"/>
              </w:rPr>
              <w:t>4. WScript/CScript launches PowerShell</w:t>
            </w:r>
          </w:p>
        </w:tc>
        <w:tc>
          <w:tcPr>
            <w:tcW w:type="dxa" w:w="1037"/>
            <w:vAlign w:val="center"/>
            <w:shd w:fill="EDF3F8"/>
            <w:shd w:fill="F1F5F9"/>
          </w:tcPr>
          <w:p>
            <w:pPr>
              <w:spacing w:after="40" w:before="40" w:line="250" w:lineRule="auto"/>
            </w:pPr>
            <w:r>
              <w:rPr>
                <w:rFonts w:ascii="Aptos" w:hAnsi="Aptos"/>
                <w:color w:val="14263E"/>
                <w:sz w:val="15"/>
              </w:rPr>
              <w:t>Execution</w:t>
            </w:r>
          </w:p>
        </w:tc>
        <w:tc>
          <w:tcPr>
            <w:tcW w:type="dxa" w:w="2045"/>
            <w:vAlign w:val="center"/>
            <w:shd w:fill="EDF3F8"/>
            <w:shd w:fill="F1F5F9"/>
          </w:tcPr>
          <w:p>
            <w:pPr>
              <w:spacing w:after="40" w:before="40" w:line="250" w:lineRule="auto"/>
            </w:pPr>
            <w:r>
              <w:rPr>
                <w:rFonts w:ascii="Aptos" w:hAnsi="Aptos"/>
                <w:color w:val="14263E"/>
                <w:sz w:val="15"/>
              </w:rPr>
              <w:t>Command and Scripting Interpreter: PowerShell (T1059.001)</w:t>
            </w:r>
          </w:p>
        </w:tc>
        <w:tc>
          <w:tcPr>
            <w:tcW w:type="dxa" w:w="3168"/>
            <w:vAlign w:val="center"/>
            <w:shd w:fill="EDF3F8"/>
            <w:shd w:fill="F1F5F9"/>
          </w:tcPr>
          <w:p>
            <w:pPr>
              <w:spacing w:after="40" w:before="40" w:line="250" w:lineRule="auto"/>
            </w:pPr>
            <w:r>
              <w:rPr>
                <w:rFonts w:ascii="Aptos" w:hAnsi="Aptos"/>
                <w:color w:val="14263E"/>
                <w:sz w:val="15"/>
              </w:rPr>
              <w:t>The report describes PowerShell execution during the second-stage chain.</w:t>
            </w:r>
          </w:p>
        </w:tc>
        <w:tc>
          <w:tcPr>
            <w:tcW w:type="dxa" w:w="2592"/>
            <w:vAlign w:val="center"/>
            <w:shd w:fill="EDF3F8"/>
            <w:shd w:fill="F1F5F9"/>
          </w:tcPr>
          <w:p>
            <w:pPr>
              <w:spacing w:after="40" w:before="40" w:line="250" w:lineRule="auto"/>
            </w:pPr>
            <w:r>
              <w:rPr>
                <w:rFonts w:ascii="Aptos" w:hAnsi="Aptos"/>
                <w:color w:val="14263E"/>
                <w:sz w:val="15"/>
              </w:rPr>
              <w:t>PowerShell 4104 (if enabled), process creation; inspect script content and parent process.</w:t>
            </w:r>
          </w:p>
        </w:tc>
      </w:tr>
      <w:tr>
        <w:trPr>
          <w:cantSplit/>
        </w:trPr>
        <w:tc>
          <w:tcPr>
            <w:tcW w:type="dxa" w:w="1915"/>
            <w:vAlign w:val="center"/>
          </w:tcPr>
          <w:p>
            <w:pPr>
              <w:spacing w:after="40" w:before="40" w:line="250" w:lineRule="auto"/>
            </w:pPr>
            <w:r>
              <w:rPr>
                <w:rFonts w:ascii="Aptos" w:hAnsi="Aptos"/>
                <w:color w:val="14263E"/>
                <w:sz w:val="15"/>
              </w:rPr>
              <w:t>5. PowerShell collects OS version and environment information</w:t>
            </w:r>
          </w:p>
        </w:tc>
        <w:tc>
          <w:tcPr>
            <w:tcW w:type="dxa" w:w="1037"/>
            <w:vAlign w:val="center"/>
          </w:tcPr>
          <w:p>
            <w:pPr>
              <w:spacing w:after="40" w:before="40" w:line="250" w:lineRule="auto"/>
            </w:pPr>
            <w:r>
              <w:rPr>
                <w:rFonts w:ascii="Aptos" w:hAnsi="Aptos"/>
                <w:color w:val="14263E"/>
                <w:sz w:val="15"/>
              </w:rPr>
              <w:t>Discovery</w:t>
            </w:r>
          </w:p>
        </w:tc>
        <w:tc>
          <w:tcPr>
            <w:tcW w:type="dxa" w:w="2045"/>
            <w:vAlign w:val="center"/>
          </w:tcPr>
          <w:p>
            <w:pPr>
              <w:spacing w:after="40" w:before="40" w:line="250" w:lineRule="auto"/>
            </w:pPr>
            <w:r>
              <w:rPr>
                <w:rFonts w:ascii="Aptos" w:hAnsi="Aptos"/>
                <w:color w:val="14263E"/>
                <w:sz w:val="15"/>
              </w:rPr>
              <w:t>System Information Discovery (T1082)</w:t>
            </w:r>
          </w:p>
        </w:tc>
        <w:tc>
          <w:tcPr>
            <w:tcW w:type="dxa" w:w="3168"/>
            <w:vAlign w:val="center"/>
          </w:tcPr>
          <w:p>
            <w:pPr>
              <w:spacing w:after="40" w:before="40" w:line="250" w:lineRule="auto"/>
            </w:pPr>
            <w:r>
              <w:rPr>
                <w:rFonts w:ascii="Aptos" w:hAnsi="Aptos"/>
                <w:color w:val="14263E"/>
                <w:sz w:val="15"/>
              </w:rPr>
              <w:t>The report identifies OS version and environment variables among information collected. This row does not claim every item maps to T1082.</w:t>
            </w:r>
          </w:p>
        </w:tc>
        <w:tc>
          <w:tcPr>
            <w:tcW w:type="dxa" w:w="2592"/>
            <w:vAlign w:val="center"/>
          </w:tcPr>
          <w:p>
            <w:pPr>
              <w:spacing w:after="40" w:before="40" w:line="250" w:lineRule="auto"/>
            </w:pPr>
            <w:r>
              <w:rPr>
                <w:rFonts w:ascii="Aptos" w:hAnsi="Aptos"/>
                <w:color w:val="14263E"/>
                <w:sz w:val="15"/>
              </w:rPr>
              <w:t>EDR/script telemetry; examine host-enumeration calls and nearby activity.</w:t>
            </w:r>
          </w:p>
        </w:tc>
      </w:tr>
      <w:tr>
        <w:trPr>
          <w:cantSplit/>
        </w:trPr>
        <w:tc>
          <w:tcPr>
            <w:tcW w:type="dxa" w:w="1915"/>
            <w:vAlign w:val="center"/>
            <w:shd w:fill="EDF3F8"/>
            <w:shd w:fill="F1F5F9"/>
          </w:tcPr>
          <w:p>
            <w:pPr>
              <w:spacing w:after="40" w:before="40" w:line="250" w:lineRule="auto"/>
            </w:pPr>
            <w:r>
              <w:rPr>
                <w:rFonts w:ascii="Aptos" w:hAnsi="Aptos"/>
                <w:color w:val="14263E"/>
                <w:sz w:val="15"/>
              </w:rPr>
              <w:t>6. PowerShell contacts hard-coded domains and sends data in Cookie header</w:t>
            </w:r>
          </w:p>
        </w:tc>
        <w:tc>
          <w:tcPr>
            <w:tcW w:type="dxa" w:w="1037"/>
            <w:vAlign w:val="center"/>
            <w:shd w:fill="EDF3F8"/>
            <w:shd w:fill="F1F5F9"/>
          </w:tcPr>
          <w:p>
            <w:pPr>
              <w:spacing w:after="40" w:before="40" w:line="250" w:lineRule="auto"/>
            </w:pPr>
            <w:r>
              <w:rPr>
                <w:rFonts w:ascii="Aptos" w:hAnsi="Aptos"/>
                <w:color w:val="14263E"/>
                <w:sz w:val="15"/>
              </w:rPr>
              <w:t>Command and Control</w:t>
            </w:r>
          </w:p>
        </w:tc>
        <w:tc>
          <w:tcPr>
            <w:tcW w:type="dxa" w:w="2045"/>
            <w:vAlign w:val="center"/>
            <w:shd w:fill="EDF3F8"/>
            <w:shd w:fill="F1F5F9"/>
          </w:tcPr>
          <w:p>
            <w:pPr>
              <w:spacing w:after="40" w:before="40" w:line="250" w:lineRule="auto"/>
            </w:pPr>
            <w:r>
              <w:rPr>
                <w:rFonts w:ascii="Aptos" w:hAnsi="Aptos"/>
                <w:color w:val="14263E"/>
                <w:sz w:val="15"/>
              </w:rPr>
              <w:t>Application Layer Protocol: Web Protocols (T1071.001)</w:t>
            </w:r>
          </w:p>
        </w:tc>
        <w:tc>
          <w:tcPr>
            <w:tcW w:type="dxa" w:w="3168"/>
            <w:vAlign w:val="center"/>
            <w:shd w:fill="EDF3F8"/>
            <w:shd w:fill="F1F5F9"/>
          </w:tcPr>
          <w:p>
            <w:pPr>
              <w:spacing w:after="40" w:before="40" w:line="250" w:lineRule="auto"/>
            </w:pPr>
            <w:r>
              <w:rPr>
                <w:rFonts w:ascii="Aptos" w:hAnsi="Aptos"/>
                <w:color w:val="14263E"/>
                <w:sz w:val="15"/>
              </w:rPr>
              <w:t>The report documents remote-domain contact and encoded victim data transmitted in an HTTP Cookie header.</w:t>
            </w:r>
          </w:p>
        </w:tc>
        <w:tc>
          <w:tcPr>
            <w:tcW w:type="dxa" w:w="2592"/>
            <w:vAlign w:val="center"/>
            <w:shd w:fill="EDF3F8"/>
            <w:shd w:fill="F1F5F9"/>
          </w:tcPr>
          <w:p>
            <w:pPr>
              <w:spacing w:after="40" w:before="40" w:line="250" w:lineRule="auto"/>
            </w:pPr>
            <w:r>
              <w:rPr>
                <w:rFonts w:ascii="Aptos" w:hAnsi="Aptos"/>
                <w:color w:val="14263E"/>
                <w:sz w:val="15"/>
              </w:rPr>
              <w:t>DNS/proxy/HTTP/EDR network logs; inspect destination, timing and unusual headers.</w:t>
            </w:r>
          </w:p>
        </w:tc>
      </w:tr>
    </w:tbl>
    <w:p/>
    <w:p>
      <w:pPr>
        <w:pStyle w:val="Heading1"/>
        <w:pBdr>
          <w:bottom w:val="single" w:sz="12" w:color="007F87"/>
        </w:pBdr>
      </w:pPr>
      <w:r>
        <w:t>4. SOC investigative playbook (Tier 1 vs Tier 2)</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rPr>
        <w:tc>
          <w:tcPr>
            <w:tcW w:type="dxa" w:w="2045"/>
            <w:shd w:fill="163D62"/>
            <w:vAlign w:val="center"/>
            <w:shd w:fill="14263E"/>
          </w:tcPr>
          <w:p>
            <w:pPr>
              <w:spacing w:after="40" w:before="40" w:line="250" w:lineRule="auto"/>
            </w:pPr>
            <w:r>
              <w:rPr>
                <w:rFonts w:ascii="Aptos" w:hAnsi="Aptos"/>
                <w:b/>
                <w:color w:val="FFFFFF"/>
                <w:sz w:val="16"/>
              </w:rPr>
              <w:t>Behavior</w:t>
            </w:r>
          </w:p>
        </w:tc>
        <w:tc>
          <w:tcPr>
            <w:tcW w:type="dxa" w:w="4205"/>
            <w:shd w:fill="163D62"/>
            <w:vAlign w:val="center"/>
            <w:shd w:fill="14263E"/>
          </w:tcPr>
          <w:p>
            <w:pPr>
              <w:spacing w:after="40" w:before="40" w:line="250" w:lineRule="auto"/>
            </w:pPr>
            <w:r>
              <w:rPr>
                <w:rFonts w:ascii="Aptos" w:hAnsi="Aptos"/>
                <w:b/>
                <w:color w:val="FFFFFF"/>
                <w:sz w:val="16"/>
              </w:rPr>
              <w:t>Tier 1 triage</w:t>
            </w:r>
          </w:p>
        </w:tc>
        <w:tc>
          <w:tcPr>
            <w:tcW w:type="dxa" w:w="4507"/>
            <w:shd w:fill="163D62"/>
            <w:vAlign w:val="center"/>
            <w:shd w:fill="14263E"/>
          </w:tcPr>
          <w:p>
            <w:pPr>
              <w:spacing w:after="40" w:before="40" w:line="250" w:lineRule="auto"/>
            </w:pPr>
            <w:r>
              <w:rPr>
                <w:rFonts w:ascii="Aptos" w:hAnsi="Aptos"/>
                <w:b/>
                <w:color w:val="FFFFFF"/>
                <w:sz w:val="16"/>
              </w:rPr>
              <w:t>Tier 2 investigation</w:t>
            </w:r>
          </w:p>
        </w:tc>
      </w:tr>
      <w:tr>
        <w:trPr>
          <w:cantSplit/>
        </w:trPr>
        <w:tc>
          <w:tcPr>
            <w:tcW w:type="dxa" w:w="2045"/>
            <w:vAlign w:val="center"/>
          </w:tcPr>
          <w:p>
            <w:pPr>
              <w:spacing w:after="40" w:before="40" w:line="250" w:lineRule="auto"/>
            </w:pPr>
            <w:r>
              <w:rPr>
                <w:rFonts w:ascii="Aptos" w:hAnsi="Aptos"/>
                <w:color w:val="14263E"/>
                <w:sz w:val="16"/>
              </w:rPr>
              <w:t>Malicious .JS / WScript</w:t>
            </w:r>
          </w:p>
        </w:tc>
        <w:tc>
          <w:tcPr>
            <w:tcW w:type="dxa" w:w="4205"/>
            <w:vAlign w:val="center"/>
          </w:tcPr>
          <w:p>
            <w:pPr>
              <w:spacing w:after="40" w:before="40" w:line="250" w:lineRule="auto"/>
            </w:pPr>
            <w:r>
              <w:rPr>
                <w:rFonts w:ascii="Aptos" w:hAnsi="Aptos"/>
                <w:color w:val="14263E"/>
                <w:sz w:val="16"/>
              </w:rPr>
              <w:t>Validate alert; identify affected user/host; check whether script actually executed; collect file path/hash and process tree.</w:t>
            </w:r>
          </w:p>
        </w:tc>
        <w:tc>
          <w:tcPr>
            <w:tcW w:type="dxa" w:w="4507"/>
            <w:vAlign w:val="center"/>
          </w:tcPr>
          <w:p>
            <w:pPr>
              <w:spacing w:after="40" w:before="40" w:line="250" w:lineRule="auto"/>
            </w:pPr>
            <w:r>
              <w:rPr>
                <w:rFonts w:ascii="Aptos" w:hAnsi="Aptos"/>
                <w:color w:val="14263E"/>
                <w:sz w:val="16"/>
              </w:rPr>
              <w:t>Reconstruct browser/download → archive → script sequence; analyze file safely in approved environment; search for matching indicators across endpoints.</w:t>
            </w:r>
          </w:p>
        </w:tc>
      </w:tr>
      <w:tr>
        <w:trPr>
          <w:cantSplit/>
        </w:trPr>
        <w:tc>
          <w:tcPr>
            <w:tcW w:type="dxa" w:w="2045"/>
            <w:vAlign w:val="center"/>
            <w:shd w:fill="EDF3F8"/>
            <w:shd w:fill="F1F5F9"/>
          </w:tcPr>
          <w:p>
            <w:pPr>
              <w:spacing w:after="40" w:before="40" w:line="250" w:lineRule="auto"/>
            </w:pPr>
            <w:r>
              <w:rPr>
                <w:rFonts w:ascii="Aptos" w:hAnsi="Aptos"/>
                <w:color w:val="14263E"/>
                <w:sz w:val="16"/>
              </w:rPr>
              <w:t>Scheduled task persistence</w:t>
            </w:r>
          </w:p>
        </w:tc>
        <w:tc>
          <w:tcPr>
            <w:tcW w:type="dxa" w:w="4205"/>
            <w:vAlign w:val="center"/>
            <w:shd w:fill="EDF3F8"/>
            <w:shd w:fill="F1F5F9"/>
          </w:tcPr>
          <w:p>
            <w:pPr>
              <w:spacing w:after="40" w:before="40" w:line="250" w:lineRule="auto"/>
            </w:pPr>
            <w:r>
              <w:rPr>
                <w:rFonts w:ascii="Aptos" w:hAnsi="Aptos"/>
                <w:color w:val="14263E"/>
                <w:sz w:val="16"/>
              </w:rPr>
              <w:t>Review task-creation event, task name, account, trigger and referenced script; assess whether a known admin workflow explains it.</w:t>
            </w:r>
          </w:p>
        </w:tc>
        <w:tc>
          <w:tcPr>
            <w:tcW w:type="dxa" w:w="4507"/>
            <w:vAlign w:val="center"/>
            <w:shd w:fill="EDF3F8"/>
            <w:shd w:fill="F1F5F9"/>
          </w:tcPr>
          <w:p>
            <w:pPr>
              <w:spacing w:after="40" w:before="40" w:line="250" w:lineRule="auto"/>
            </w:pPr>
            <w:r>
              <w:rPr>
                <w:rFonts w:ascii="Aptos" w:hAnsi="Aptos"/>
                <w:color w:val="14263E"/>
                <w:sz w:val="16"/>
              </w:rPr>
              <w:t>Recover task configuration and executable contents; determine when it ran; scope other endpoints; recommend containment and removal through incident-response procedures.</w:t>
            </w:r>
          </w:p>
        </w:tc>
      </w:tr>
      <w:tr>
        <w:trPr>
          <w:cantSplit/>
        </w:trPr>
        <w:tc>
          <w:tcPr>
            <w:tcW w:type="dxa" w:w="2045"/>
            <w:vAlign w:val="center"/>
          </w:tcPr>
          <w:p>
            <w:pPr>
              <w:spacing w:after="40" w:before="40" w:line="250" w:lineRule="auto"/>
            </w:pPr>
            <w:r>
              <w:rPr>
                <w:rFonts w:ascii="Aptos" w:hAnsi="Aptos"/>
                <w:color w:val="14263E"/>
                <w:sz w:val="16"/>
              </w:rPr>
              <w:t>PowerShell and outbound C2</w:t>
            </w:r>
          </w:p>
        </w:tc>
        <w:tc>
          <w:tcPr>
            <w:tcW w:type="dxa" w:w="4205"/>
            <w:vAlign w:val="center"/>
          </w:tcPr>
          <w:p>
            <w:pPr>
              <w:spacing w:after="40" w:before="40" w:line="250" w:lineRule="auto"/>
            </w:pPr>
            <w:r>
              <w:rPr>
                <w:rFonts w:ascii="Aptos" w:hAnsi="Aptos"/>
                <w:color w:val="14263E"/>
                <w:sz w:val="16"/>
              </w:rPr>
              <w:t>Review suspicious parent-child process chain, script-block logs when available, DNS/proxy destination and correlated alerts.</w:t>
            </w:r>
          </w:p>
        </w:tc>
        <w:tc>
          <w:tcPr>
            <w:tcW w:type="dxa" w:w="4507"/>
            <w:vAlign w:val="center"/>
          </w:tcPr>
          <w:p>
            <w:pPr>
              <w:spacing w:after="40" w:before="40" w:line="250" w:lineRule="auto"/>
            </w:pPr>
            <w:r>
              <w:rPr>
                <w:rFonts w:ascii="Aptos" w:hAnsi="Aptos"/>
                <w:color w:val="14263E"/>
                <w:sz w:val="16"/>
              </w:rPr>
              <w:t>Correlate process, script and HTTP events; determine whether data left the environment; search for later payload activity and other compromised hosts.</w:t>
            </w:r>
          </w:p>
        </w:tc>
      </w:tr>
    </w:tbl>
    <w:p/>
    <w:p>
      <w:r>
        <w:rPr>
          <w:i/>
          <w:color w:val="526276"/>
          <w:sz w:val="17"/>
        </w:rPr>
        <w:t>The telemetry above is a proposed defensive investigation plan, not evidence that these logs were captured in Mandiant’s reported case. An ATT&amp;CK label by itself does not establish malicious intent.</w:t>
      </w:r>
    </w:p>
    <w:p>
      <w:pPr>
        <w:pStyle w:val="Heading1"/>
        <w:pBdr>
          <w:bottom w:val="single" w:sz="12" w:color="007F87"/>
        </w:pBdr>
      </w:pPr>
      <w:r>
        <w:t>5. Uncertainty and alternate interpretation</w:t>
      </w:r>
    </w:p>
    <w:p>
      <w:r>
        <w:t>Uncertain mapping: the initial website visit could be mistaken for Drive-by Compromise (T1189). However, the report describes the user downloading a ZIP and manually launching a JavaScript file, not automatic exploitation of a browser vulnerability. Therefore T1204.002 (User Execution: Malicious File) is supported for the initial execution step; T1189 is not assigned. Evidence that could change this judgment: browser exploit logs, evidence of code execution before the file was clicked, or a source statement documenting an actual client-side exploit.</w:t>
      </w:r>
    </w:p>
    <w:p>
      <w:r>
        <w:rPr>
          <w:color w:val="007F87"/>
        </w:rPr>
        <w:t>Peer/instructor review: [To complete during the required group comparison: reviewer, date, feedback, and any resulting change.]</w:t>
      </w:r>
    </w:p>
    <w:p>
      <w:pPr>
        <w:pStyle w:val="Heading1"/>
        <w:pBdr>
          <w:bottom w:val="single" w:sz="12" w:color="007F87"/>
        </w:pBdr>
      </w:pPr>
      <w:r>
        <w:t>6. Sources and reproducibility</w:t>
      </w:r>
    </w:p>
    <w:p>
      <w:r>
        <w:t>[1] Sinjari, G., &amp; Morales, A. (2023, January 26). “Welcome to Goot Camp: Tracking the Evolution of GOOTLOADER Operations.” Mandiant / Google Cloud. https://cloud.google.com/blog/topics/threat-intelligence/tracking-evolution-gootloader-operations/</w:t>
      </w:r>
    </w:p>
    <w:p>
      <w:r>
        <w:t>[2] MITRE ATT&amp;CK, Enterprise techniques: T1204.002; T1059.007; T1053.005; T1059.001; T1082; T1071.001. https://attack.mitre.org/</w:t>
      </w:r>
    </w:p>
    <w:p>
      <w:r>
        <w:rPr>
          <w:i/>
          <w:color w:val="526276"/>
          <w:sz w:val="17"/>
        </w:rPr>
        <w:t>Method: Extracted behaviors from the “GOOTLOADER.POWERSHELL attack chain” section of source [1]; compared each proposed classification with the corresponding technique definition on source [2]. Only documented behaviors are treated as observations; SOC recommendations and ambiguity analysis are analyst inferences.</w:t>
      </w:r>
    </w:p>
    <w:sectPr w:rsidR="00FC693F" w:rsidRPr="0006063C" w:rsidSect="00034616">
      <w:footerReference w:type="default" r:id="rId9"/>
      <w:headerReference w:type="default" r:id="rId10"/>
      <w:pgSz w:w="12240" w:h="15840"/>
      <w:pgMar w:top="1037" w:right="1008" w:bottom="965" w:left="1008"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LAB 1  •  CTI / MITRE ATT&amp;CK / SOC</w:t>
    </w:r>
    <w:r>
      <w:rPr>
        <w:color w:val="526276"/>
        <w:sz w:val="14"/>
      </w:rPr>
      <w:t xml:space="preserve">LIAN MAOR  ·  NOY MLYNEK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276"/>
        <w:sz w:val="14"/>
      </w:rPr>
      <w:t>CYBERSECURITY LAB 01     /     THREAT INTELLIGENCE &amp; SOC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426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7F87"/>
      <w:sz w:val="26"/>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ptos Display" w:hAnsi="Aptos Display"/>
      <w:b/>
      <w:bCs/>
      <w:color w:val="14263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1426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