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42C0E" w:rsidP="003F75E4">
      <w:pPr>
        <w:pStyle w:val="a7"/>
      </w:pPr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r w:rsidR="009C0F5A">
        <w:rPr>
          <w:rFonts w:hint="eastAsia"/>
        </w:rPr>
        <w:t>电子商务</w:t>
      </w:r>
      <w:r>
        <w:rPr>
          <w:rFonts w:hint="eastAsia"/>
        </w:rPr>
        <w:t>系统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B42C0E">
        <w:rPr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B42C0E">
        <w:rPr>
          <w:sz w:val="28"/>
          <w:szCs w:val="28"/>
        </w:rPr>
        <w:t>10</w:t>
      </w:r>
      <w:r w:rsidR="009C0F5A" w:rsidRPr="00577E73">
        <w:rPr>
          <w:rFonts w:hint="eastAsia"/>
          <w:sz w:val="28"/>
          <w:szCs w:val="28"/>
        </w:rPr>
        <w:t>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B42C0E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="00B42C0E">
        <w:rPr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</w:t>
      </w:r>
      <w:r w:rsidR="00B42C0E">
        <w:rPr>
          <w:sz w:val="28"/>
          <w:szCs w:val="28"/>
        </w:rPr>
        <w:t>2</w:t>
      </w:r>
      <w:r w:rsidR="009C0F5A" w:rsidRPr="00577E73">
        <w:rPr>
          <w:rFonts w:hint="eastAsia"/>
          <w:sz w:val="28"/>
          <w:szCs w:val="28"/>
        </w:rPr>
        <w:t>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B42C0E">
        <w:rPr>
          <w:sz w:val="28"/>
          <w:szCs w:val="28"/>
        </w:rPr>
        <w:t>8</w:t>
      </w:r>
      <w:r w:rsidRPr="00577E73">
        <w:rPr>
          <w:rFonts w:hint="eastAsia"/>
          <w:sz w:val="28"/>
          <w:szCs w:val="28"/>
        </w:rPr>
        <w:t>-</w:t>
      </w:r>
      <w:r w:rsidR="00B42C0E">
        <w:rPr>
          <w:sz w:val="28"/>
          <w:szCs w:val="28"/>
        </w:rPr>
        <w:t>10</w:t>
      </w:r>
      <w:bookmarkStart w:id="0" w:name="_GoBack"/>
      <w:bookmarkEnd w:id="0"/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DF4" w:rsidRDefault="00537DF4" w:rsidP="007C0007">
      <w:r>
        <w:separator/>
      </w:r>
    </w:p>
  </w:endnote>
  <w:endnote w:type="continuationSeparator" w:id="0">
    <w:p w:rsidR="00537DF4" w:rsidRDefault="00537DF4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DF4" w:rsidRDefault="00537DF4" w:rsidP="007C0007">
      <w:r>
        <w:separator/>
      </w:r>
    </w:p>
  </w:footnote>
  <w:footnote w:type="continuationSeparator" w:id="0">
    <w:p w:rsidR="00537DF4" w:rsidRDefault="00537DF4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5386C"/>
    <w:rsid w:val="00537DF4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2C0E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F5E5F"/>
  <w15:docId w15:val="{7079C06F-6E6F-4579-B91D-A3C16F1C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fanlimei</cp:lastModifiedBy>
  <cp:revision>34</cp:revision>
  <dcterms:created xsi:type="dcterms:W3CDTF">2010-02-25T09:00:00Z</dcterms:created>
  <dcterms:modified xsi:type="dcterms:W3CDTF">2019-06-16T03:05:00Z</dcterms:modified>
</cp:coreProperties>
</file>