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外汇管理政策</w:t>
      </w:r>
    </w:p>
    <w:p>
      <w:pPr>
        <w:pStyle w:val="Heading1"/>
      </w:pPr>
      <w:r>
        <w:t>第一章 外汇管理政策概述</w:t>
      </w:r>
    </w:p>
    <w:p>
      <w:r>
        <w:t>外汇管理是指国家对外汇收支、买卖、借贷、转移以及国际间的结算、外汇汇率和外汇市场等实行的管理措施。我国实行以市场供求为基础的、单一的、有管理的浮动汇率制度。中国人民银行根据银行间外汇市场形成的价格，公布人民币对主要外币的汇率。</w:t>
      </w:r>
    </w:p>
    <w:p>
      <w:pPr>
        <w:pStyle w:val="Heading1"/>
      </w:pPr>
      <w:r>
        <w:t>第二章 结售汇业务管理</w:t>
      </w:r>
    </w:p>
    <w:p>
      <w:r>
        <w:t>实行银行结汇、售汇制度，境内机构的经常项目外汇收入必须结汇给外汇指定银行。个人年度购汇额度为等值5万美元。超过年度总额的，需提供相关证明材料。结汇是指外汇收入所有者将其持有的外汇卖给外汇指定银行，按一定汇率取得等值本币的行为。售汇是指外汇指定银行向外汇使用者出售外汇，收取等值本币的行为。</w:t>
      </w:r>
    </w:p>
    <w:p>
      <w:pPr>
        <w:pStyle w:val="Heading1"/>
      </w:pPr>
      <w:r>
        <w:t>第三章 跨境贸易人民币结算</w:t>
      </w:r>
    </w:p>
    <w:p>
      <w:r>
        <w:t>跨境贸易人民币结算是指经国家允许结算的贸易，以人民币报关并且以人民币结算的贸易结算。企业开展跨境贸易人民币结算业务，应当选择具有相关资质的银行作为结算银行。跨境贸易人民币结算不纳入外汇核销管理范围。2024-01-15起执行新政策，简化跨境人民币结算流程。</w:t>
      </w:r>
    </w:p>
    <w:p>
      <w:pPr>
        <w:pStyle w:val="Heading1"/>
      </w:pPr>
      <w:r>
        <w:t>第四章 存款利率管理</w:t>
      </w:r>
    </w:p>
    <w:p>
      <w:r>
        <w:t>活期存款年利率为0.35%。一年期定期存款基准利率为1.50%。各商业银行可以在基准利率基础上浮动定价。大额存单起存金额为20万元，利率可上浮至基准利率的1.45倍。USD存款利率为2.5%，EUR存款利率为1.8%。GBP存款利率为1.5%，JPY存款利率为0.01%。</w:t>
      </w:r>
    </w:p>
    <w:p>
      <w:pPr>
        <w:pStyle w:val="Heading1"/>
      </w:pPr>
      <w:r>
        <w:t>第五章 贷款业务管理</w:t>
      </w:r>
    </w:p>
    <w:p>
      <w:r>
        <w:t>个人住房贷款基准利率为4.9%。商业用房贷款基准利率为5.9%。企业流动资金贷款基准利率为4.35%。中长期贷款基准利率为4.75%。贷款审批需要提供财务报表、担保材料等相关文件。逾期贷款将按日计收罚息，罚息利率为合同利率的1.5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