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rPr>
          <w:rFonts w:hint="eastAsia"/>
        </w:rPr>
        <w:t>以太坊交易量第一合约FAIRWIN被爆漏洞分析</w:t>
      </w:r>
    </w:p>
    <w:bookmarkEnd w:id="0"/>
    <w:p/>
    <w:p>
      <w:r>
        <w:rPr>
          <w:rFonts w:hint="eastAsia"/>
        </w:rPr>
        <w:t>近日，FAIRWIN 智能合约存在漏洞这一问题引起各方关注，FAIRWIN 作为近日以太坊链上交易量最高的资金盘模式应用，在以太坊链上还存在大量类似的克隆盘，如果存在隐藏漏洞会给公链带来较大风向，因此成都链安安全人员对FAIRWIN智能合约展开了深度分析，分析结果如下：</w:t>
      </w:r>
    </w:p>
    <w:p>
      <w:pPr>
        <w:rPr>
          <w:rFonts w:hint="eastAsia"/>
        </w:rPr>
      </w:pPr>
    </w:p>
    <w:p>
      <w:r>
        <w:rPr>
          <w:rFonts w:hint="eastAsia"/>
        </w:rPr>
        <w:t>通过对FAIRWIN合约代码进行审计，我们发现其合约存在一个remedy()接口，如果合约owner没有通过close()关闭接口时，该接口可以被任意用户调用，并且可以通过这个接口伪造投注数据，实现“无中生有”，在不使用任何资金的情况下伪造了充值记录，之后攻击者便可以享受分红，或者通过userWithDraw()将余额全部提出。</w:t>
      </w:r>
    </w:p>
    <w:p/>
    <w:p>
      <w:r>
        <w:rPr>
          <w:rFonts w:hint="eastAsia"/>
        </w:rPr>
        <w:t>通过链上记录，我们发现项目方已于2019年7月28日（合约上线第二天）通过closeAct（）关闭了该接口。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872865"/>
            <wp:effectExtent l="0" t="0" r="7620" b="1333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9230" cy="856615"/>
            <wp:effectExtent l="0" t="0" r="7620" b="63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通过成都链安Beosin-AML系统分析项目方所有的交易记录，我们进一步分析是否已经存在攻击者插入投注数据成功的情况。通过分析发现，该漏洞已被严重滥用。</w:t>
      </w:r>
    </w:p>
    <w:p/>
    <w:p>
      <w:r>
        <w:rPr>
          <w:rFonts w:hint="eastAsia"/>
        </w:rPr>
        <w:t>从十天前到现在为止，陆续有账户尝试调用remedy()接口来插入投注数据，不过由于该操作已被关闭，导致插入数据失败，可以看到插入金额都是几万ETH。</w:t>
      </w:r>
    </w:p>
    <w:p/>
    <w:p>
      <w:r>
        <w:rPr>
          <w:rFonts w:hint="eastAsia"/>
        </w:rPr>
        <w:t>插入失败记录：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2105"/>
            <wp:effectExtent l="0" t="0" r="4445" b="1079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4176395"/>
            <wp:effectExtent l="0" t="0" r="8890" b="1460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通过完整追溯，我们总共发现503条插入成功的交易记录（500个地址），且插入日期都在项目方关闭接口之前。经统计，这503条交易全部由地址0xcb104fA25a1a46040DBaB9F554FF564CE325668b发起。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94915"/>
            <wp:effectExtent l="0" t="0" r="6350" b="635"/>
            <wp:docPr id="14" name="图片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23920"/>
            <wp:effectExtent l="0" t="0" r="6350" b="5080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通过统计得出总共插入了5093个ETH，其中包括4711个冻结ETH，382个未冻结ETH。并且攻击者通过插入投注记录设置的500多个小号已经进行过提现操作。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218180"/>
            <wp:effectExtent l="0" t="0" r="12065" b="1270"/>
            <wp:docPr id="16" name="图片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通过进一步分析其合约部署情况发现，在项目方关闭actStu的前一天，也就是2019年7月27日，项目方刚刚部署FAIRWIN合约，在短短一天时间不到之内，项目合约之内便无中生有了5000多个ETH。</w:t>
      </w:r>
    </w:p>
    <w:p/>
    <w:p>
      <w:r>
        <w:rPr>
          <w:rFonts w:hint="eastAsia"/>
        </w:rPr>
        <w:t>7月29日，以太坊浏览器显示合约进行了开源。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447925"/>
            <wp:effectExtent l="0" t="0" r="8255" b="9525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B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BEYOND</dc:creator>
  <cp:lastModifiedBy>KiKuKo全球购</cp:lastModifiedBy>
  <dcterms:modified xsi:type="dcterms:W3CDTF">2019-10-17T03:32:53Z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