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9D" w:rsidRPr="000F6FF9" w:rsidRDefault="00802C9D" w:rsidP="00802C9D">
      <w:pPr>
        <w:jc w:val="center"/>
        <w:rPr>
          <w:rStyle w:val="BookTitle"/>
        </w:rPr>
      </w:pPr>
      <w:r w:rsidRPr="000F6FF9">
        <w:rPr>
          <w:rStyle w:val="BookTitle"/>
        </w:rPr>
        <w:t>Ming Statecraft:</w:t>
      </w:r>
    </w:p>
    <w:p w:rsidR="00802C9D" w:rsidRPr="005E54B5" w:rsidRDefault="00802C9D" w:rsidP="004E2CF2">
      <w:pPr>
        <w:spacing w:after="200"/>
        <w:jc w:val="center"/>
        <w:rPr>
          <w:rFonts w:cs="Times New Roman"/>
          <w:b/>
          <w:szCs w:val="24"/>
        </w:rPr>
      </w:pPr>
      <w:r w:rsidRPr="000F6FF9">
        <w:rPr>
          <w:rStyle w:val="BookTitle"/>
        </w:rPr>
        <w:t>Chinese Agendas of P</w:t>
      </w:r>
      <w:bookmarkStart w:id="0" w:name="_GoBack"/>
      <w:bookmarkEnd w:id="0"/>
      <w:r w:rsidRPr="000F6FF9">
        <w:rPr>
          <w:rStyle w:val="BookTitle"/>
        </w:rPr>
        <w:t>olitical Economy</w:t>
      </w:r>
      <w:r w:rsidRPr="005E54B5">
        <w:rPr>
          <w:rFonts w:cs="Times New Roman"/>
          <w:b/>
          <w:szCs w:val="24"/>
        </w:rPr>
        <w:t xml:space="preserve"> </w:t>
      </w:r>
    </w:p>
    <w:p w:rsidR="00802C9D" w:rsidRPr="005E54B5" w:rsidRDefault="00802C9D" w:rsidP="00802C9D">
      <w:pPr>
        <w:jc w:val="center"/>
      </w:pPr>
      <w:proofErr w:type="gramStart"/>
      <w:r w:rsidRPr="005E54B5">
        <w:t>Vol. 1.</w:t>
      </w:r>
      <w:proofErr w:type="gramEnd"/>
      <w:r w:rsidRPr="005E54B5">
        <w:t xml:space="preserve"> Translations from </w:t>
      </w:r>
      <w:r>
        <w:t xml:space="preserve">the </w:t>
      </w:r>
      <w:r w:rsidRPr="005E54B5">
        <w:rPr>
          <w:i/>
          <w:szCs w:val="24"/>
        </w:rPr>
        <w:t>Supplement to the Explication o</w:t>
      </w:r>
      <w:r>
        <w:rPr>
          <w:i/>
          <w:szCs w:val="24"/>
        </w:rPr>
        <w:t>f</w:t>
      </w:r>
      <w:r w:rsidRPr="005E54B5">
        <w:rPr>
          <w:szCs w:val="24"/>
        </w:rPr>
        <w:t xml:space="preserve"> </w:t>
      </w:r>
      <w:proofErr w:type="gramStart"/>
      <w:r w:rsidRPr="005E54B5">
        <w:rPr>
          <w:i/>
          <w:szCs w:val="24"/>
        </w:rPr>
        <w:t>The</w:t>
      </w:r>
      <w:proofErr w:type="gramEnd"/>
      <w:r w:rsidRPr="005E54B5">
        <w:rPr>
          <w:i/>
          <w:szCs w:val="24"/>
        </w:rPr>
        <w:t xml:space="preserve"> Great Learning</w:t>
      </w:r>
    </w:p>
    <w:p w:rsidR="00802C9D" w:rsidRDefault="00802C9D" w:rsidP="004E2CF2">
      <w:pPr>
        <w:spacing w:after="200"/>
        <w:jc w:val="center"/>
      </w:pPr>
      <w:r>
        <w:t>Vol</w:t>
      </w:r>
      <w:r>
        <w:t>s</w:t>
      </w:r>
      <w:r>
        <w:t>. 2</w:t>
      </w:r>
      <w:r>
        <w:t>-3.</w:t>
      </w:r>
      <w:r>
        <w:t xml:space="preserve"> Essays on the Political Philosophy of </w:t>
      </w:r>
      <w:proofErr w:type="spellStart"/>
      <w:r>
        <w:t>Qiu</w:t>
      </w:r>
      <w:proofErr w:type="spellEnd"/>
      <w:r>
        <w:t xml:space="preserve"> Jun </w:t>
      </w:r>
    </w:p>
    <w:p w:rsidR="00802C9D" w:rsidRDefault="00802C9D" w:rsidP="004E2CF2">
      <w:pPr>
        <w:spacing w:after="200"/>
        <w:jc w:val="center"/>
      </w:pPr>
      <w:proofErr w:type="gramStart"/>
      <w:r>
        <w:t>edited</w:t>
      </w:r>
      <w:proofErr w:type="gramEnd"/>
      <w:r>
        <w:t xml:space="preserve"> by Timothy Brook and Lianbin</w:t>
      </w:r>
      <w:r w:rsidR="00CC525B">
        <w:t xml:space="preserve"> Dai</w:t>
      </w:r>
    </w:p>
    <w:p w:rsidR="004E2CF2" w:rsidRDefault="004E2CF2" w:rsidP="004E2CF2">
      <w:pPr>
        <w:spacing w:after="200"/>
        <w:jc w:val="center"/>
      </w:pPr>
    </w:p>
    <w:p w:rsidR="00802C9D" w:rsidRDefault="00802C9D" w:rsidP="004E2CF2">
      <w:pPr>
        <w:spacing w:after="200"/>
        <w:rPr>
          <w:rFonts w:cs="Times New Roman"/>
          <w:szCs w:val="24"/>
        </w:rPr>
      </w:pPr>
      <w:r w:rsidRPr="000F6FF9">
        <w:rPr>
          <w:rStyle w:val="BookTitle"/>
        </w:rPr>
        <w:t>China</w:t>
      </w:r>
      <w:r w:rsidRPr="005019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has long been </w:t>
      </w:r>
      <w:r w:rsidRPr="005019F6">
        <w:rPr>
          <w:rFonts w:cs="Times New Roman"/>
          <w:szCs w:val="24"/>
        </w:rPr>
        <w:t xml:space="preserve">one of the most governmentalized </w:t>
      </w:r>
      <w:r>
        <w:rPr>
          <w:rFonts w:cs="Times New Roman"/>
          <w:szCs w:val="24"/>
        </w:rPr>
        <w:t>countrie</w:t>
      </w:r>
      <w:r w:rsidRPr="005019F6">
        <w:rPr>
          <w:rFonts w:cs="Times New Roman"/>
          <w:szCs w:val="24"/>
        </w:rPr>
        <w:t>s in the world</w:t>
      </w:r>
      <w:r>
        <w:rPr>
          <w:rFonts w:cs="Times New Roman"/>
          <w:szCs w:val="24"/>
        </w:rPr>
        <w:t xml:space="preserve">. The central court and its bureaucracy have aspired to </w:t>
      </w:r>
      <w:r w:rsidRPr="005019F6">
        <w:rPr>
          <w:rFonts w:cs="Times New Roman"/>
          <w:szCs w:val="24"/>
        </w:rPr>
        <w:t xml:space="preserve">monitor almost every aspect of individual and social life. </w:t>
      </w:r>
      <w:r>
        <w:rPr>
          <w:rFonts w:cs="Times New Roman"/>
          <w:szCs w:val="24"/>
        </w:rPr>
        <w:t xml:space="preserve">Far from modern, this managerial appetite extends centuries into the past in a knowledge tradition known as </w:t>
      </w:r>
      <w:proofErr w:type="spellStart"/>
      <w:r w:rsidRPr="00A7527A">
        <w:rPr>
          <w:rFonts w:cs="Times New Roman"/>
          <w:i/>
          <w:szCs w:val="24"/>
        </w:rPr>
        <w:t>jingsh</w:t>
      </w:r>
      <w:r>
        <w:rPr>
          <w:rFonts w:cs="Times New Roman"/>
          <w:i/>
          <w:szCs w:val="24"/>
        </w:rPr>
        <w:t>i</w:t>
      </w:r>
      <w:proofErr w:type="spellEnd"/>
      <w:r w:rsidR="00CC525B">
        <w:rPr>
          <w:rFonts w:cs="Times New Roman" w:hint="eastAsia"/>
          <w:i/>
          <w:szCs w:val="24"/>
        </w:rPr>
        <w:t xml:space="preserve"> </w:t>
      </w:r>
      <w:r w:rsidR="00CC525B">
        <w:rPr>
          <w:rFonts w:cs="Times New Roman" w:hint="eastAsia"/>
          <w:szCs w:val="24"/>
        </w:rPr>
        <w:t>經世</w:t>
      </w:r>
      <w:r>
        <w:rPr>
          <w:rFonts w:cs="Times New Roman"/>
          <w:szCs w:val="24"/>
        </w:rPr>
        <w:t xml:space="preserve">, which we translate as “statecraft.” </w:t>
      </w:r>
      <w:r w:rsidRPr="00A7527A">
        <w:rPr>
          <w:rFonts w:cs="Times New Roman"/>
          <w:szCs w:val="24"/>
        </w:rPr>
        <w:t xml:space="preserve">The term is the first half of a phrase that expresses the obligation of the state to </w:t>
      </w:r>
      <w:proofErr w:type="spellStart"/>
      <w:r w:rsidRPr="00A7527A">
        <w:rPr>
          <w:rFonts w:cs="Times New Roman"/>
          <w:i/>
          <w:szCs w:val="24"/>
        </w:rPr>
        <w:t>jingshi</w:t>
      </w:r>
      <w:proofErr w:type="spellEnd"/>
      <w:r w:rsidRPr="00A7527A">
        <w:rPr>
          <w:rFonts w:cs="Times New Roman"/>
          <w:i/>
          <w:szCs w:val="24"/>
        </w:rPr>
        <w:t xml:space="preserve"> </w:t>
      </w:r>
      <w:proofErr w:type="spellStart"/>
      <w:r w:rsidRPr="00A7527A">
        <w:rPr>
          <w:rFonts w:cs="Times New Roman"/>
          <w:i/>
          <w:szCs w:val="24"/>
        </w:rPr>
        <w:t>jimin</w:t>
      </w:r>
      <w:proofErr w:type="spellEnd"/>
      <w:r w:rsidR="00CC525B">
        <w:rPr>
          <w:rFonts w:cs="Times New Roman" w:hint="eastAsia"/>
          <w:i/>
          <w:szCs w:val="24"/>
        </w:rPr>
        <w:t xml:space="preserve"> </w:t>
      </w:r>
      <w:r w:rsidR="00CC525B">
        <w:rPr>
          <w:rFonts w:cs="Times New Roman" w:hint="eastAsia"/>
          <w:szCs w:val="24"/>
        </w:rPr>
        <w:t>經世濟民</w:t>
      </w:r>
      <w:r w:rsidRPr="00A7527A">
        <w:rPr>
          <w:rFonts w:cs="Times New Roman"/>
          <w:szCs w:val="24"/>
        </w:rPr>
        <w:t xml:space="preserve">, “to manage </w:t>
      </w:r>
      <w:r>
        <w:rPr>
          <w:rFonts w:cs="Times New Roman"/>
          <w:szCs w:val="24"/>
        </w:rPr>
        <w:t xml:space="preserve">the age and assist the people.” This </w:t>
      </w:r>
      <w:r w:rsidRPr="00A7527A">
        <w:rPr>
          <w:rFonts w:cs="Times New Roman"/>
          <w:szCs w:val="24"/>
        </w:rPr>
        <w:t>phrase gave birth</w:t>
      </w:r>
      <w:r>
        <w:rPr>
          <w:rFonts w:cs="Times New Roman"/>
          <w:szCs w:val="24"/>
        </w:rPr>
        <w:t xml:space="preserve"> i</w:t>
      </w:r>
      <w:r w:rsidRPr="00A7527A">
        <w:rPr>
          <w:rFonts w:cs="Times New Roman"/>
          <w:szCs w:val="24"/>
        </w:rPr>
        <w:t xml:space="preserve">n the </w:t>
      </w:r>
      <w:r>
        <w:rPr>
          <w:rFonts w:cs="Times New Roman"/>
          <w:szCs w:val="24"/>
        </w:rPr>
        <w:t>nineteen</w:t>
      </w:r>
      <w:r w:rsidRPr="00A7527A">
        <w:rPr>
          <w:rFonts w:cs="Times New Roman"/>
          <w:szCs w:val="24"/>
        </w:rPr>
        <w:t xml:space="preserve">th century to </w:t>
      </w:r>
      <w:proofErr w:type="spellStart"/>
      <w:r w:rsidRPr="00A7527A">
        <w:rPr>
          <w:rFonts w:cs="Times New Roman"/>
          <w:i/>
          <w:szCs w:val="24"/>
        </w:rPr>
        <w:t>jingji</w:t>
      </w:r>
      <w:proofErr w:type="spellEnd"/>
      <w:r w:rsidR="00CC525B">
        <w:rPr>
          <w:rFonts w:cs="Times New Roman" w:hint="eastAsia"/>
          <w:i/>
          <w:szCs w:val="24"/>
        </w:rPr>
        <w:t xml:space="preserve"> </w:t>
      </w:r>
      <w:r w:rsidR="00CC525B">
        <w:rPr>
          <w:rFonts w:cs="Times New Roman" w:hint="eastAsia"/>
          <w:szCs w:val="24"/>
        </w:rPr>
        <w:t>經濟</w:t>
      </w:r>
      <w:r>
        <w:rPr>
          <w:rFonts w:cs="Times New Roman"/>
          <w:szCs w:val="24"/>
        </w:rPr>
        <w:t>, “economy,</w:t>
      </w:r>
      <w:r w:rsidRPr="00A7527A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though s</w:t>
      </w:r>
      <w:r w:rsidRPr="00A7527A">
        <w:rPr>
          <w:rFonts w:cs="Times New Roman"/>
          <w:szCs w:val="24"/>
        </w:rPr>
        <w:t>tatecraft</w:t>
      </w:r>
      <w:r>
        <w:rPr>
          <w:rFonts w:cs="Times New Roman"/>
          <w:szCs w:val="24"/>
        </w:rPr>
        <w:t xml:space="preserve"> </w:t>
      </w:r>
      <w:r w:rsidRPr="00A7527A">
        <w:rPr>
          <w:rFonts w:cs="Times New Roman"/>
          <w:szCs w:val="24"/>
        </w:rPr>
        <w:t>is ab</w:t>
      </w:r>
      <w:r>
        <w:rPr>
          <w:rFonts w:cs="Times New Roman"/>
          <w:szCs w:val="24"/>
        </w:rPr>
        <w:t xml:space="preserve">out more than the economy: it identifies what </w:t>
      </w:r>
      <w:r w:rsidRPr="00A7527A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responsible state and monarch </w:t>
      </w:r>
      <w:r w:rsidRPr="00A7527A">
        <w:rPr>
          <w:rFonts w:cs="Times New Roman"/>
          <w:szCs w:val="24"/>
        </w:rPr>
        <w:t>should do to ensure the good order, survival, and moral health of subjects.</w:t>
      </w:r>
      <w:r>
        <w:rPr>
          <w:rFonts w:cs="Times New Roman"/>
          <w:szCs w:val="24"/>
        </w:rPr>
        <w:t xml:space="preserve"> Western historians of China ten</w:t>
      </w:r>
      <w:r w:rsidR="00CC525B">
        <w:rPr>
          <w:rFonts w:cs="Times New Roman" w:hint="eastAsia"/>
          <w:szCs w:val="24"/>
        </w:rPr>
        <w:t>d</w:t>
      </w:r>
      <w:r>
        <w:rPr>
          <w:rFonts w:cs="Times New Roman"/>
          <w:szCs w:val="24"/>
        </w:rPr>
        <w:t xml:space="preserve"> to identify statecraft with the Qing dynasty, but our work explores the active formulation of a statecraft agenda across all policy areas much earlier, in the mid-Ming dynasty in the fifteenth century. </w:t>
      </w:r>
    </w:p>
    <w:p w:rsidR="00802C9D" w:rsidRPr="00A7527A" w:rsidRDefault="00802C9D" w:rsidP="004E2CF2">
      <w:pPr>
        <w:spacing w:after="20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Our</w:t>
      </w:r>
      <w:r w:rsidRPr="00A752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key text is the </w:t>
      </w:r>
      <w:proofErr w:type="spellStart"/>
      <w:r w:rsidRPr="00A7527A">
        <w:rPr>
          <w:rFonts w:cs="Times New Roman"/>
          <w:i/>
          <w:szCs w:val="24"/>
        </w:rPr>
        <w:t>Daxue</w:t>
      </w:r>
      <w:proofErr w:type="spellEnd"/>
      <w:r w:rsidRPr="00A7527A">
        <w:rPr>
          <w:rFonts w:cs="Times New Roman"/>
          <w:i/>
          <w:szCs w:val="24"/>
        </w:rPr>
        <w:t xml:space="preserve"> </w:t>
      </w:r>
      <w:proofErr w:type="spellStart"/>
      <w:r w:rsidRPr="00A7527A">
        <w:rPr>
          <w:rFonts w:cs="Times New Roman"/>
          <w:i/>
          <w:szCs w:val="24"/>
        </w:rPr>
        <w:t>yanyi</w:t>
      </w:r>
      <w:proofErr w:type="spellEnd"/>
      <w:r w:rsidRPr="00A7527A">
        <w:rPr>
          <w:rFonts w:cs="Times New Roman"/>
          <w:i/>
          <w:szCs w:val="24"/>
        </w:rPr>
        <w:t xml:space="preserve"> </w:t>
      </w:r>
      <w:proofErr w:type="spellStart"/>
      <w:r w:rsidRPr="00A7527A">
        <w:rPr>
          <w:rFonts w:cs="Times New Roman"/>
          <w:i/>
          <w:szCs w:val="24"/>
        </w:rPr>
        <w:t>bu</w:t>
      </w:r>
      <w:proofErr w:type="spellEnd"/>
      <w:r w:rsidR="00CC525B">
        <w:rPr>
          <w:rFonts w:cs="Times New Roman" w:hint="eastAsia"/>
          <w:szCs w:val="24"/>
        </w:rPr>
        <w:t>大學衍義補</w:t>
      </w:r>
      <w:r w:rsidR="00CC525B">
        <w:rPr>
          <w:rFonts w:cs="Times New Roman"/>
          <w:szCs w:val="24"/>
          <w:lang w:val="en-US"/>
        </w:rPr>
        <w:t xml:space="preserve"> </w:t>
      </w:r>
      <w:r w:rsidRPr="00A7527A">
        <w:rPr>
          <w:rFonts w:cs="Times New Roman"/>
          <w:szCs w:val="24"/>
        </w:rPr>
        <w:t>(Supple</w:t>
      </w:r>
      <w:r>
        <w:rPr>
          <w:rFonts w:cs="Times New Roman"/>
          <w:szCs w:val="24"/>
        </w:rPr>
        <w:t xml:space="preserve">ment to the </w:t>
      </w:r>
      <w:r w:rsidRPr="00BF4A47">
        <w:rPr>
          <w:rFonts w:cs="Times New Roman"/>
          <w:i/>
          <w:szCs w:val="24"/>
        </w:rPr>
        <w:t>Explication o</w:t>
      </w:r>
      <w:r>
        <w:rPr>
          <w:rFonts w:cs="Times New Roman"/>
          <w:i/>
          <w:szCs w:val="24"/>
        </w:rPr>
        <w:t>f</w:t>
      </w:r>
      <w:r w:rsidRPr="00BF4A47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“</w:t>
      </w:r>
      <w:r w:rsidRPr="006E4652">
        <w:rPr>
          <w:rFonts w:cs="Times New Roman"/>
          <w:i/>
          <w:szCs w:val="24"/>
        </w:rPr>
        <w:t>The Great Learning</w:t>
      </w:r>
      <w:r>
        <w:rPr>
          <w:rFonts w:cs="Times New Roman"/>
          <w:i/>
          <w:szCs w:val="24"/>
        </w:rPr>
        <w:t>”</w:t>
      </w:r>
      <w:r>
        <w:rPr>
          <w:rFonts w:cs="Times New Roman"/>
          <w:szCs w:val="24"/>
        </w:rPr>
        <w:t>).</w:t>
      </w:r>
      <w:r w:rsidRPr="00A7527A">
        <w:rPr>
          <w:rFonts w:cs="Times New Roman"/>
          <w:szCs w:val="24"/>
        </w:rPr>
        <w:t xml:space="preserve"> Its author, </w:t>
      </w:r>
      <w:proofErr w:type="spellStart"/>
      <w:r w:rsidRPr="00A7527A">
        <w:rPr>
          <w:rFonts w:cs="Times New Roman"/>
          <w:szCs w:val="24"/>
        </w:rPr>
        <w:t>Qiu</w:t>
      </w:r>
      <w:proofErr w:type="spellEnd"/>
      <w:r w:rsidRPr="00A7527A">
        <w:rPr>
          <w:rFonts w:cs="Times New Roman"/>
          <w:szCs w:val="24"/>
        </w:rPr>
        <w:t xml:space="preserve"> Jun</w:t>
      </w:r>
      <w:r w:rsidR="00CC525B">
        <w:rPr>
          <w:rFonts w:cs="Times New Roman"/>
          <w:szCs w:val="24"/>
        </w:rPr>
        <w:t xml:space="preserve"> </w:t>
      </w:r>
      <w:r w:rsidR="00CC525B">
        <w:rPr>
          <w:rFonts w:cs="Times New Roman" w:hint="eastAsia"/>
          <w:szCs w:val="24"/>
        </w:rPr>
        <w:t>丘濬</w:t>
      </w:r>
      <w:r w:rsidR="00CC525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(1418 – </w:t>
      </w:r>
      <w:r>
        <w:rPr>
          <w:rFonts w:cs="Times New Roman"/>
          <w:szCs w:val="24"/>
          <w:lang w:val="en-US"/>
        </w:rPr>
        <w:t>14</w:t>
      </w:r>
      <w:r w:rsidRPr="00A7527A">
        <w:rPr>
          <w:rFonts w:cs="Times New Roman"/>
          <w:szCs w:val="24"/>
          <w:lang w:val="en-US"/>
        </w:rPr>
        <w:t>95)</w:t>
      </w:r>
      <w:r w:rsidRPr="00A7527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compiled this </w:t>
      </w:r>
      <w:r w:rsidRPr="00A7527A">
        <w:rPr>
          <w:rFonts w:cs="Times New Roman"/>
          <w:szCs w:val="24"/>
        </w:rPr>
        <w:t xml:space="preserve">encyclopaedic </w:t>
      </w:r>
      <w:r>
        <w:rPr>
          <w:rFonts w:cs="Times New Roman"/>
          <w:szCs w:val="24"/>
        </w:rPr>
        <w:t>compendium, which</w:t>
      </w:r>
      <w:r w:rsidRPr="00A752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runs to 16</w:t>
      </w:r>
      <w:r w:rsidRPr="00A7527A">
        <w:rPr>
          <w:rFonts w:cs="Times New Roman"/>
          <w:szCs w:val="24"/>
        </w:rPr>
        <w:t>0 long chapters</w:t>
      </w:r>
      <w:r>
        <w:rPr>
          <w:rFonts w:cs="Times New Roman"/>
          <w:szCs w:val="24"/>
        </w:rPr>
        <w:t xml:space="preserve">, while serving as head </w:t>
      </w:r>
      <w:r w:rsidRPr="00A7527A">
        <w:rPr>
          <w:rFonts w:cs="Times New Roman"/>
          <w:szCs w:val="24"/>
        </w:rPr>
        <w:t>of the National Academy in Beijing</w:t>
      </w:r>
      <w:r>
        <w:rPr>
          <w:rFonts w:cs="Times New Roman"/>
          <w:szCs w:val="24"/>
        </w:rPr>
        <w:t>. His post furnished him with a bevy of assistants who helped him compile what is</w:t>
      </w:r>
      <w:r w:rsidRPr="00A7527A">
        <w:rPr>
          <w:rFonts w:cs="Times New Roman"/>
          <w:szCs w:val="24"/>
        </w:rPr>
        <w:t xml:space="preserve"> the most comprehensive </w:t>
      </w:r>
      <w:r>
        <w:rPr>
          <w:rFonts w:cs="Times New Roman"/>
          <w:szCs w:val="24"/>
        </w:rPr>
        <w:t xml:space="preserve">survey </w:t>
      </w:r>
      <w:r w:rsidRPr="00A7527A">
        <w:rPr>
          <w:rFonts w:cs="Times New Roman"/>
          <w:szCs w:val="24"/>
        </w:rPr>
        <w:t xml:space="preserve">and analysis of the statecraft tradition ever published. It consists of brief, familiar citations from classical texts and documents interspersed with </w:t>
      </w:r>
      <w:proofErr w:type="spellStart"/>
      <w:r w:rsidRPr="00A7527A">
        <w:rPr>
          <w:rFonts w:cs="Times New Roman"/>
          <w:szCs w:val="24"/>
        </w:rPr>
        <w:t>Qiu’s</w:t>
      </w:r>
      <w:proofErr w:type="spellEnd"/>
      <w:r w:rsidRPr="00A7527A">
        <w:rPr>
          <w:rFonts w:cs="Times New Roman"/>
          <w:szCs w:val="24"/>
        </w:rPr>
        <w:t xml:space="preserve"> commentaries, some enunciating general principles, others recommending particular policies. The book touches on every aspect of statecraft: personnel, currency, state finance, charity, ceremonies, education, justice, and the administration of the military, </w:t>
      </w:r>
      <w:r>
        <w:rPr>
          <w:rFonts w:cs="Times New Roman"/>
          <w:szCs w:val="24"/>
        </w:rPr>
        <w:t>among other themes</w:t>
      </w:r>
      <w:r w:rsidRPr="00A7527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Although </w:t>
      </w:r>
      <w:proofErr w:type="spellStart"/>
      <w:r>
        <w:rPr>
          <w:rFonts w:cs="Times New Roman"/>
          <w:szCs w:val="24"/>
        </w:rPr>
        <w:t>Qiu</w:t>
      </w:r>
      <w:proofErr w:type="spellEnd"/>
      <w:r>
        <w:rPr>
          <w:rFonts w:cs="Times New Roman"/>
          <w:szCs w:val="24"/>
        </w:rPr>
        <w:t xml:space="preserve"> embraced</w:t>
      </w:r>
      <w:r w:rsidRPr="00A752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mid-Ming</w:t>
      </w:r>
      <w:r w:rsidRPr="00A7527A">
        <w:rPr>
          <w:rFonts w:cs="Times New Roman"/>
          <w:szCs w:val="24"/>
        </w:rPr>
        <w:t xml:space="preserve"> vision</w:t>
      </w:r>
      <w:r>
        <w:rPr>
          <w:rFonts w:cs="Times New Roman"/>
          <w:szCs w:val="24"/>
        </w:rPr>
        <w:t xml:space="preserve"> of informed </w:t>
      </w:r>
      <w:proofErr w:type="spellStart"/>
      <w:r>
        <w:rPr>
          <w:rFonts w:cs="Times New Roman"/>
          <w:szCs w:val="24"/>
        </w:rPr>
        <w:t>rulership</w:t>
      </w:r>
      <w:proofErr w:type="spellEnd"/>
      <w:r w:rsidRPr="00A7527A">
        <w:rPr>
          <w:rFonts w:cs="Times New Roman"/>
          <w:szCs w:val="24"/>
        </w:rPr>
        <w:t>, h</w:t>
      </w:r>
      <w:r>
        <w:rPr>
          <w:rFonts w:cs="Times New Roman"/>
          <w:szCs w:val="24"/>
        </w:rPr>
        <w:t>e intended h</w:t>
      </w:r>
      <w:r w:rsidRPr="00A7527A">
        <w:rPr>
          <w:rFonts w:cs="Times New Roman"/>
          <w:szCs w:val="24"/>
        </w:rPr>
        <w:t>is understanding of what the state should do to ensure peace and prosperity</w:t>
      </w:r>
      <w:r>
        <w:rPr>
          <w:rFonts w:cs="Times New Roman"/>
          <w:szCs w:val="24"/>
        </w:rPr>
        <w:t xml:space="preserve"> to apply universally. Here </w:t>
      </w:r>
      <w:r w:rsidRPr="00A7527A">
        <w:rPr>
          <w:rFonts w:cs="Times New Roman"/>
          <w:szCs w:val="24"/>
        </w:rPr>
        <w:t xml:space="preserve">was a template for the administrative state, and the most complete statement of the theory and policies of state administration prior to the emergence of </w:t>
      </w:r>
      <w:r>
        <w:rPr>
          <w:rFonts w:cs="Times New Roman"/>
          <w:szCs w:val="24"/>
        </w:rPr>
        <w:t xml:space="preserve">political economy or </w:t>
      </w:r>
      <w:r w:rsidRPr="00A7527A">
        <w:rPr>
          <w:rFonts w:cs="Times New Roman"/>
          <w:szCs w:val="24"/>
        </w:rPr>
        <w:t>public administration as academic field</w:t>
      </w:r>
      <w:r>
        <w:rPr>
          <w:rFonts w:cs="Times New Roman"/>
          <w:szCs w:val="24"/>
        </w:rPr>
        <w:t>s</w:t>
      </w:r>
      <w:r w:rsidRPr="00A7527A">
        <w:rPr>
          <w:rFonts w:cs="Times New Roman"/>
          <w:szCs w:val="24"/>
        </w:rPr>
        <w:t>.</w:t>
      </w:r>
    </w:p>
    <w:p w:rsidR="00802C9D" w:rsidRDefault="00802C9D" w:rsidP="004E2CF2">
      <w:pPr>
        <w:spacing w:after="200"/>
        <w:ind w:firstLine="360"/>
        <w:rPr>
          <w:rFonts w:cs="Times New Roman"/>
          <w:szCs w:val="24"/>
        </w:rPr>
      </w:pPr>
      <w:r w:rsidRPr="00A7527A">
        <w:rPr>
          <w:rFonts w:cs="Times New Roman"/>
          <w:szCs w:val="24"/>
        </w:rPr>
        <w:t xml:space="preserve">The assumption </w:t>
      </w:r>
      <w:r>
        <w:rPr>
          <w:rFonts w:cs="Times New Roman"/>
          <w:szCs w:val="24"/>
        </w:rPr>
        <w:t xml:space="preserve">grounding </w:t>
      </w:r>
      <w:r w:rsidRPr="00A7527A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approach of the</w:t>
      </w:r>
      <w:r w:rsidRPr="00A7527A">
        <w:rPr>
          <w:rFonts w:cs="Times New Roman"/>
          <w:i/>
          <w:szCs w:val="24"/>
        </w:rPr>
        <w:t xml:space="preserve"> Supplement </w:t>
      </w:r>
      <w:r w:rsidRPr="00A7527A">
        <w:rPr>
          <w:rFonts w:cs="Times New Roman"/>
          <w:szCs w:val="24"/>
        </w:rPr>
        <w:t xml:space="preserve">is that all problems in the public realm—political and infrastructural, social and economic, environmental and moral—can be </w:t>
      </w:r>
      <w:r>
        <w:rPr>
          <w:rFonts w:cs="Times New Roman"/>
          <w:szCs w:val="24"/>
        </w:rPr>
        <w:t>addressed through</w:t>
      </w:r>
      <w:r w:rsidRPr="00A7527A">
        <w:rPr>
          <w:rFonts w:cs="Times New Roman"/>
          <w:szCs w:val="24"/>
        </w:rPr>
        <w:t xml:space="preserve"> correct </w:t>
      </w:r>
      <w:r>
        <w:rPr>
          <w:rFonts w:cs="Times New Roman"/>
          <w:szCs w:val="24"/>
        </w:rPr>
        <w:t xml:space="preserve">analysis and appropriate </w:t>
      </w:r>
      <w:r w:rsidRPr="00A7527A">
        <w:rPr>
          <w:rFonts w:cs="Times New Roman"/>
          <w:szCs w:val="24"/>
        </w:rPr>
        <w:t xml:space="preserve">procedure. Although </w:t>
      </w:r>
      <w:r>
        <w:rPr>
          <w:rFonts w:cs="Times New Roman"/>
          <w:szCs w:val="24"/>
        </w:rPr>
        <w:t xml:space="preserve">an autocratic </w:t>
      </w:r>
      <w:r w:rsidRPr="00A7527A">
        <w:rPr>
          <w:rFonts w:cs="Times New Roman"/>
          <w:szCs w:val="24"/>
        </w:rPr>
        <w:t xml:space="preserve">temptation hovers at the edge of statecraft thought, it was an impulse the </w:t>
      </w:r>
      <w:r w:rsidRPr="00A7527A">
        <w:rPr>
          <w:rFonts w:cs="Times New Roman"/>
          <w:i/>
          <w:szCs w:val="24"/>
        </w:rPr>
        <w:t xml:space="preserve">Supplement </w:t>
      </w:r>
      <w:r>
        <w:rPr>
          <w:rFonts w:cs="Times New Roman"/>
          <w:szCs w:val="24"/>
        </w:rPr>
        <w:t>r</w:t>
      </w:r>
      <w:r w:rsidRPr="00A7527A">
        <w:rPr>
          <w:rFonts w:cs="Times New Roman"/>
          <w:szCs w:val="24"/>
        </w:rPr>
        <w:t>esist</w:t>
      </w:r>
      <w:r>
        <w:rPr>
          <w:rFonts w:cs="Times New Roman"/>
          <w:szCs w:val="24"/>
        </w:rPr>
        <w:t>s</w:t>
      </w:r>
      <w:r w:rsidRPr="00A7527A">
        <w:rPr>
          <w:rFonts w:cs="Times New Roman"/>
          <w:szCs w:val="24"/>
        </w:rPr>
        <w:t xml:space="preserve">. </w:t>
      </w:r>
      <w:proofErr w:type="spellStart"/>
      <w:r w:rsidRPr="00A7527A">
        <w:rPr>
          <w:rFonts w:cs="Times New Roman"/>
          <w:szCs w:val="24"/>
        </w:rPr>
        <w:t>Qiu’s</w:t>
      </w:r>
      <w:proofErr w:type="spellEnd"/>
      <w:r w:rsidRPr="00A7527A">
        <w:rPr>
          <w:rFonts w:cs="Times New Roman"/>
          <w:szCs w:val="24"/>
        </w:rPr>
        <w:t xml:space="preserve"> model of the well-ordered state</w:t>
      </w:r>
      <w:r>
        <w:rPr>
          <w:rFonts w:cs="Times New Roman"/>
          <w:szCs w:val="24"/>
        </w:rPr>
        <w:t xml:space="preserve"> gave the emperor a role</w:t>
      </w:r>
      <w:r w:rsidRPr="00A7527A">
        <w:rPr>
          <w:rFonts w:cs="Times New Roman"/>
          <w:szCs w:val="24"/>
        </w:rPr>
        <w:t>, but he was not the main actor</w:t>
      </w:r>
      <w:r>
        <w:rPr>
          <w:rFonts w:cs="Times New Roman"/>
          <w:szCs w:val="24"/>
        </w:rPr>
        <w:t>,</w:t>
      </w:r>
      <w:r w:rsidRPr="00A752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A7527A">
        <w:rPr>
          <w:rFonts w:cs="Times New Roman"/>
          <w:szCs w:val="24"/>
        </w:rPr>
        <w:t xml:space="preserve">had to be educated to do it properly. The real engineers of state administration, men whose education had to exceed that of the emperor, were morally informed technocrats: like </w:t>
      </w:r>
      <w:proofErr w:type="spellStart"/>
      <w:r w:rsidRPr="00A7527A">
        <w:rPr>
          <w:rFonts w:cs="Times New Roman"/>
          <w:szCs w:val="24"/>
        </w:rPr>
        <w:t>Qiu</w:t>
      </w:r>
      <w:proofErr w:type="spellEnd"/>
      <w:r w:rsidRPr="00A752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and his students.</w:t>
      </w:r>
      <w:r w:rsidRPr="00A7527A">
        <w:rPr>
          <w:rFonts w:cs="Times New Roman"/>
          <w:szCs w:val="24"/>
        </w:rPr>
        <w:t xml:space="preserve"> </w:t>
      </w:r>
    </w:p>
    <w:p w:rsidR="00D513C3" w:rsidRDefault="00802C9D" w:rsidP="004E2CF2">
      <w:pPr>
        <w:spacing w:after="20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This proj</w:t>
      </w:r>
      <w:r w:rsidR="004E2CF2">
        <w:rPr>
          <w:rFonts w:cs="Times New Roman"/>
          <w:szCs w:val="24"/>
        </w:rPr>
        <w:t>ect is in three</w:t>
      </w:r>
      <w:r>
        <w:rPr>
          <w:rFonts w:cs="Times New Roman"/>
          <w:szCs w:val="24"/>
        </w:rPr>
        <w:t xml:space="preserve"> volumes. The first</w:t>
      </w:r>
      <w:r w:rsidR="004E2CF2">
        <w:rPr>
          <w:rFonts w:cs="Times New Roman"/>
          <w:szCs w:val="24"/>
        </w:rPr>
        <w:t xml:space="preserve"> two volumes consist</w:t>
      </w:r>
      <w:r>
        <w:rPr>
          <w:rFonts w:cs="Times New Roman"/>
          <w:szCs w:val="24"/>
        </w:rPr>
        <w:t xml:space="preserve"> of selected chapters from </w:t>
      </w:r>
      <w:proofErr w:type="spellStart"/>
      <w:r>
        <w:rPr>
          <w:rFonts w:cs="Times New Roman"/>
          <w:szCs w:val="24"/>
        </w:rPr>
        <w:t>Qiu</w:t>
      </w:r>
      <w:proofErr w:type="spellEnd"/>
      <w:r>
        <w:rPr>
          <w:rFonts w:cs="Times New Roman"/>
          <w:szCs w:val="24"/>
        </w:rPr>
        <w:t xml:space="preserve"> Jun’s magnum opus, </w:t>
      </w:r>
      <w:r w:rsidRPr="005E54B5">
        <w:rPr>
          <w:rFonts w:cs="Times New Roman"/>
          <w:i/>
          <w:szCs w:val="24"/>
        </w:rPr>
        <w:t>Supplement to the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Explication of</w:t>
      </w:r>
      <w:r w:rsidRPr="00BF4A47">
        <w:rPr>
          <w:rFonts w:cs="Times New Roman"/>
          <w:i/>
          <w:szCs w:val="24"/>
        </w:rPr>
        <w:t xml:space="preserve"> </w:t>
      </w:r>
      <w:r w:rsidRPr="006E4652">
        <w:rPr>
          <w:rFonts w:cs="Times New Roman"/>
          <w:i/>
          <w:szCs w:val="24"/>
        </w:rPr>
        <w:t>The Great Learning</w:t>
      </w:r>
      <w:r>
        <w:rPr>
          <w:rFonts w:cs="Times New Roman"/>
          <w:szCs w:val="24"/>
        </w:rPr>
        <w:t xml:space="preserve">, translated into English by a team of seventeen scholars of </w:t>
      </w:r>
      <w:r w:rsidR="004E2CF2">
        <w:rPr>
          <w:rFonts w:cs="Times New Roman"/>
          <w:szCs w:val="24"/>
        </w:rPr>
        <w:t>late-imperial history. The thir</w:t>
      </w:r>
      <w:r>
        <w:rPr>
          <w:rFonts w:cs="Times New Roman"/>
          <w:szCs w:val="24"/>
        </w:rPr>
        <w:t xml:space="preserve">d volume consists of a </w:t>
      </w:r>
      <w:r>
        <w:rPr>
          <w:rFonts w:cs="Times New Roman"/>
          <w:szCs w:val="24"/>
        </w:rPr>
        <w:lastRenderedPageBreak/>
        <w:t xml:space="preserve">set of essays by ten of the translators on significant aspects of </w:t>
      </w:r>
      <w:proofErr w:type="spellStart"/>
      <w:r>
        <w:rPr>
          <w:rFonts w:cs="Times New Roman"/>
          <w:szCs w:val="24"/>
        </w:rPr>
        <w:t>Qiu</w:t>
      </w:r>
      <w:proofErr w:type="spellEnd"/>
      <w:r>
        <w:rPr>
          <w:rFonts w:cs="Times New Roman"/>
          <w:szCs w:val="24"/>
        </w:rPr>
        <w:t xml:space="preserve"> Jun’s political philosophy, and Chinese political economy more generally, as reflected in his great work.</w:t>
      </w:r>
    </w:p>
    <w:p w:rsidR="004E2CF2" w:rsidRDefault="004E2CF2" w:rsidP="004E2CF2">
      <w:pPr>
        <w:spacing w:after="200"/>
        <w:rPr>
          <w:rFonts w:cs="Times New Roman"/>
          <w:szCs w:val="24"/>
        </w:rPr>
      </w:pPr>
    </w:p>
    <w:p w:rsidR="004E2CF2" w:rsidRDefault="004E2CF2" w:rsidP="004E2CF2">
      <w:pPr>
        <w:jc w:val="right"/>
        <w:rPr>
          <w:rFonts w:cs="Times New Roman"/>
          <w:szCs w:val="24"/>
        </w:rPr>
      </w:pPr>
    </w:p>
    <w:p w:rsidR="004E2CF2" w:rsidRPr="00802C9D" w:rsidRDefault="004E2CF2" w:rsidP="004E2CF2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(Timothy Brook)</w:t>
      </w:r>
    </w:p>
    <w:sectPr w:rsidR="004E2CF2" w:rsidRPr="00802C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56" w:rsidRDefault="007F0556" w:rsidP="000F6FF9">
      <w:r>
        <w:separator/>
      </w:r>
    </w:p>
  </w:endnote>
  <w:endnote w:type="continuationSeparator" w:id="0">
    <w:p w:rsidR="007F0556" w:rsidRDefault="007F0556" w:rsidP="000F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722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6FF9" w:rsidRDefault="000F6F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C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6FF9" w:rsidRDefault="000F6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56" w:rsidRDefault="007F0556" w:rsidP="000F6FF9">
      <w:r>
        <w:separator/>
      </w:r>
    </w:p>
  </w:footnote>
  <w:footnote w:type="continuationSeparator" w:id="0">
    <w:p w:rsidR="007F0556" w:rsidRDefault="007F0556" w:rsidP="000F6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9D"/>
    <w:rsid w:val="000F6FF9"/>
    <w:rsid w:val="004E2CF2"/>
    <w:rsid w:val="007F0556"/>
    <w:rsid w:val="00802C9D"/>
    <w:rsid w:val="00CC525B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9D"/>
    <w:pPr>
      <w:spacing w:after="0" w:line="240" w:lineRule="auto"/>
    </w:pPr>
    <w:rPr>
      <w:rFonts w:ascii="Times New Roman" w:eastAsia="宋体" w:hAnsi="Times New Roman" w:cs="Arial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F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FF9"/>
    <w:rPr>
      <w:rFonts w:ascii="Times New Roman" w:eastAsia="宋体" w:hAnsi="Times New Roman" w:cs="Arial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F6F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FF9"/>
    <w:rPr>
      <w:rFonts w:ascii="Times New Roman" w:eastAsia="宋体" w:hAnsi="Times New Roman" w:cs="Arial"/>
      <w:sz w:val="24"/>
      <w:lang w:val="en-CA"/>
    </w:rPr>
  </w:style>
  <w:style w:type="character" w:styleId="BookTitle">
    <w:name w:val="Book Title"/>
    <w:basedOn w:val="DefaultParagraphFont"/>
    <w:uiPriority w:val="33"/>
    <w:qFormat/>
    <w:rsid w:val="000F6FF9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0F6FF9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9D"/>
    <w:pPr>
      <w:spacing w:after="0" w:line="240" w:lineRule="auto"/>
    </w:pPr>
    <w:rPr>
      <w:rFonts w:ascii="Times New Roman" w:eastAsia="宋体" w:hAnsi="Times New Roman" w:cs="Arial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F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FF9"/>
    <w:rPr>
      <w:rFonts w:ascii="Times New Roman" w:eastAsia="宋体" w:hAnsi="Times New Roman" w:cs="Arial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F6F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FF9"/>
    <w:rPr>
      <w:rFonts w:ascii="Times New Roman" w:eastAsia="宋体" w:hAnsi="Times New Roman" w:cs="Arial"/>
      <w:sz w:val="24"/>
      <w:lang w:val="en-CA"/>
    </w:rPr>
  </w:style>
  <w:style w:type="character" w:styleId="BookTitle">
    <w:name w:val="Book Title"/>
    <w:basedOn w:val="DefaultParagraphFont"/>
    <w:uiPriority w:val="33"/>
    <w:qFormat/>
    <w:rsid w:val="000F6FF9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0F6FF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lianbin</dc:creator>
  <cp:lastModifiedBy>lianbin</cp:lastModifiedBy>
  <cp:revision>3</cp:revision>
  <dcterms:created xsi:type="dcterms:W3CDTF">2018-07-04T14:30:00Z</dcterms:created>
  <dcterms:modified xsi:type="dcterms:W3CDTF">2018-07-04T14:48:00Z</dcterms:modified>
</cp:coreProperties>
</file>