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39D" w:rsidRDefault="002E039D" w:rsidP="002E039D">
      <w:pPr>
        <w:pStyle w:val="Heading1"/>
      </w:pPr>
      <w:r>
        <w:rPr>
          <w:rFonts w:hint="eastAsia"/>
        </w:rPr>
        <w:t>SERVICE</w:t>
      </w:r>
    </w:p>
    <w:p w:rsidR="007D36EE" w:rsidRDefault="007D36EE" w:rsidP="007D36EE">
      <w:pPr>
        <w:rPr>
          <w:lang w:val="en-CA"/>
        </w:rPr>
      </w:pPr>
    </w:p>
    <w:p w:rsidR="007D36EE" w:rsidRPr="007D36EE" w:rsidRDefault="007D36EE" w:rsidP="007D36EE">
      <w:pPr>
        <w:rPr>
          <w:rFonts w:ascii="Courier New" w:hAnsi="Courier New" w:cs="Courier New"/>
          <w:sz w:val="24"/>
          <w:szCs w:val="24"/>
          <w:lang w:val="en-CA"/>
        </w:rPr>
      </w:pPr>
      <w:r w:rsidRPr="007D36EE">
        <w:rPr>
          <w:rFonts w:ascii="Courier New" w:hAnsi="Courier New" w:cs="Courier New"/>
          <w:sz w:val="24"/>
          <w:szCs w:val="24"/>
          <w:lang w:val="en-CA"/>
        </w:rPr>
        <w:t>[Note: This category consists of two sections, “Professional service” and “</w:t>
      </w:r>
      <w:r>
        <w:rPr>
          <w:rFonts w:ascii="Courier New" w:hAnsi="Courier New" w:cs="Courier New"/>
          <w:sz w:val="24"/>
          <w:szCs w:val="24"/>
          <w:lang w:val="en-CA"/>
        </w:rPr>
        <w:t>Consulting service,</w:t>
      </w:r>
      <w:r w:rsidRPr="007D36EE">
        <w:rPr>
          <w:rFonts w:ascii="Courier New" w:hAnsi="Courier New" w:cs="Courier New"/>
          <w:sz w:val="24"/>
          <w:szCs w:val="24"/>
          <w:lang w:val="en-CA"/>
        </w:rPr>
        <w:t>”</w:t>
      </w:r>
      <w:r>
        <w:rPr>
          <w:rFonts w:ascii="Courier New" w:hAnsi="Courier New" w:cs="Courier New"/>
          <w:sz w:val="24"/>
          <w:szCs w:val="24"/>
          <w:lang w:val="en-CA"/>
        </w:rPr>
        <w:t xml:space="preserve"> each to be published as a separate webpage.</w:t>
      </w:r>
      <w:r w:rsidRPr="007D36EE">
        <w:rPr>
          <w:rFonts w:ascii="Courier New" w:hAnsi="Courier New" w:cs="Courier New"/>
          <w:sz w:val="24"/>
          <w:szCs w:val="24"/>
          <w:lang w:val="en-CA"/>
        </w:rPr>
        <w:t>]</w:t>
      </w:r>
      <w:bookmarkStart w:id="0" w:name="_GoBack"/>
      <w:bookmarkEnd w:id="0"/>
    </w:p>
    <w:p w:rsidR="002E039D" w:rsidRDefault="002E039D" w:rsidP="002E039D">
      <w:pPr>
        <w:rPr>
          <w:lang w:val="en-CA"/>
        </w:rPr>
      </w:pPr>
    </w:p>
    <w:p w:rsidR="002E039D" w:rsidRPr="002E039D" w:rsidRDefault="002E039D" w:rsidP="002E039D">
      <w:pPr>
        <w:rPr>
          <w:rFonts w:ascii="Times New Roman" w:hAnsi="Times New Roman" w:cs="Times New Roman"/>
          <w:color w:val="0070C0"/>
          <w:sz w:val="24"/>
          <w:szCs w:val="24"/>
          <w:lang w:val="en-CA"/>
        </w:rPr>
      </w:pPr>
      <w:r w:rsidRPr="002E039D">
        <w:rPr>
          <w:rFonts w:ascii="Times New Roman" w:hAnsi="Times New Roman" w:cs="Times New Roman"/>
          <w:color w:val="0070C0"/>
          <w:sz w:val="24"/>
          <w:szCs w:val="24"/>
          <w:lang w:val="en-CA"/>
        </w:rPr>
        <w:t>Professional service</w:t>
      </w:r>
    </w:p>
    <w:p w:rsidR="002E039D" w:rsidRPr="002E039D" w:rsidRDefault="002E039D" w:rsidP="002E039D">
      <w:pPr>
        <w:rPr>
          <w:rFonts w:ascii="Times New Roman" w:hAnsi="Times New Roman" w:cs="Times New Roman"/>
          <w:color w:val="0070C0"/>
          <w:sz w:val="24"/>
          <w:szCs w:val="24"/>
          <w:lang w:val="en-CA"/>
        </w:rPr>
      </w:pPr>
      <w:r w:rsidRPr="002E039D">
        <w:rPr>
          <w:rFonts w:ascii="Times New Roman" w:hAnsi="Times New Roman" w:cs="Times New Roman"/>
          <w:color w:val="0070C0"/>
          <w:sz w:val="24"/>
          <w:szCs w:val="24"/>
          <w:lang w:val="en-CA"/>
        </w:rPr>
        <w:t>Consulting service</w:t>
      </w:r>
    </w:p>
    <w:p w:rsidR="002E039D" w:rsidRDefault="002E039D" w:rsidP="002E039D">
      <w:pPr>
        <w:pStyle w:val="Heading1"/>
      </w:pPr>
    </w:p>
    <w:p w:rsidR="002E039D" w:rsidRDefault="002E039D" w:rsidP="002E039D">
      <w:pPr>
        <w:pStyle w:val="Heading1"/>
      </w:pPr>
      <w:r w:rsidRPr="002E039D">
        <w:rPr>
          <w:highlight w:val="yellow"/>
        </w:rPr>
        <w:t>Professional Service</w:t>
      </w:r>
    </w:p>
    <w:p w:rsidR="00D513C3" w:rsidRDefault="00D513C3"/>
    <w:p w:rsidR="002E039D" w:rsidRPr="002E039D" w:rsidRDefault="002E039D" w:rsidP="002E039D">
      <w:pPr>
        <w:rPr>
          <w:rFonts w:ascii="Times New Roman" w:hAnsi="Times New Roman" w:cs="Times New Roman"/>
          <w:b/>
          <w:sz w:val="24"/>
          <w:szCs w:val="24"/>
        </w:rPr>
      </w:pPr>
      <w:r w:rsidRPr="002E039D">
        <w:rPr>
          <w:rFonts w:ascii="Times New Roman" w:hAnsi="Times New Roman" w:cs="Times New Roman"/>
          <w:b/>
          <w:sz w:val="24"/>
          <w:szCs w:val="24"/>
        </w:rPr>
        <w:t xml:space="preserve">Lecture Series Co-organizer </w:t>
      </w:r>
      <w:r w:rsidRPr="002E039D">
        <w:rPr>
          <w:rFonts w:ascii="Times New Roman" w:hAnsi="Times New Roman" w:cs="Times New Roman"/>
          <w:sz w:val="24"/>
          <w:szCs w:val="24"/>
        </w:rPr>
        <w:t>(with Timothy Brook and Janine Andrews)</w:t>
      </w:r>
    </w:p>
    <w:p w:rsidR="002E039D" w:rsidRPr="002E039D" w:rsidRDefault="002E039D" w:rsidP="002E039D">
      <w:pPr>
        <w:rPr>
          <w:rFonts w:ascii="Times New Roman" w:hAnsi="Times New Roman" w:cs="Times New Roman"/>
          <w:sz w:val="24"/>
          <w:szCs w:val="24"/>
        </w:rPr>
      </w:pPr>
      <w:r w:rsidRPr="002E039D">
        <w:rPr>
          <w:rFonts w:ascii="Times New Roman" w:hAnsi="Times New Roman" w:cs="Times New Roman"/>
          <w:sz w:val="24"/>
          <w:szCs w:val="24"/>
        </w:rPr>
        <w:t>“Visualizing China’s Imperial Order (1500 – 1800)”, University of Alberta Museums (Edmonton, AB, Canada), 10/2015 – 07/2016</w:t>
      </w:r>
    </w:p>
    <w:p w:rsidR="002E039D" w:rsidRPr="002E039D" w:rsidRDefault="002E039D" w:rsidP="002E039D">
      <w:pPr>
        <w:pStyle w:val="ListParagraph"/>
        <w:numPr>
          <w:ilvl w:val="0"/>
          <w:numId w:val="1"/>
        </w:numPr>
      </w:pPr>
      <w:r w:rsidRPr="002E039D">
        <w:t xml:space="preserve">This lecture series consists of four sessions, each containing 2-4 lectures plus a panel discussion / debate in public. Twelve leading scholars of late imperial Chinese history from over the world shared with the public their historical readings of individual items from the </w:t>
      </w:r>
      <w:proofErr w:type="spellStart"/>
      <w:r w:rsidRPr="002E039D">
        <w:t>Mactaggart</w:t>
      </w:r>
      <w:proofErr w:type="spellEnd"/>
      <w:r w:rsidRPr="002E039D">
        <w:t xml:space="preserve"> Art Collection.</w:t>
      </w:r>
    </w:p>
    <w:p w:rsidR="002E039D" w:rsidRPr="002E039D" w:rsidRDefault="002E039D" w:rsidP="002E039D">
      <w:pPr>
        <w:rPr>
          <w:rFonts w:ascii="Times New Roman" w:hAnsi="Times New Roman" w:cs="Times New Roman"/>
          <w:b/>
          <w:sz w:val="24"/>
          <w:szCs w:val="24"/>
        </w:rPr>
      </w:pPr>
    </w:p>
    <w:p w:rsidR="002E039D" w:rsidRPr="002E039D" w:rsidRDefault="002E039D" w:rsidP="002E039D">
      <w:pPr>
        <w:rPr>
          <w:rFonts w:ascii="Times New Roman" w:hAnsi="Times New Roman" w:cs="Times New Roman"/>
          <w:sz w:val="24"/>
          <w:szCs w:val="24"/>
        </w:rPr>
      </w:pPr>
      <w:r w:rsidRPr="002E039D">
        <w:rPr>
          <w:rFonts w:ascii="Times New Roman" w:hAnsi="Times New Roman" w:cs="Times New Roman"/>
          <w:b/>
          <w:sz w:val="24"/>
          <w:szCs w:val="24"/>
        </w:rPr>
        <w:t xml:space="preserve">Symposium Co-organizer </w:t>
      </w:r>
      <w:r w:rsidRPr="002E039D">
        <w:rPr>
          <w:rFonts w:ascii="Times New Roman" w:hAnsi="Times New Roman" w:cs="Times New Roman"/>
          <w:sz w:val="24"/>
          <w:szCs w:val="24"/>
        </w:rPr>
        <w:t>(with Timothy Brook and Janine Andrews)</w:t>
      </w:r>
    </w:p>
    <w:p w:rsidR="002E039D" w:rsidRPr="002E039D" w:rsidRDefault="002E039D" w:rsidP="002E039D">
      <w:pPr>
        <w:rPr>
          <w:rFonts w:ascii="Times New Roman" w:hAnsi="Times New Roman" w:cs="Times New Roman"/>
          <w:sz w:val="24"/>
          <w:szCs w:val="24"/>
        </w:rPr>
      </w:pPr>
      <w:r w:rsidRPr="002E039D">
        <w:rPr>
          <w:rFonts w:ascii="Times New Roman" w:hAnsi="Times New Roman" w:cs="Times New Roman"/>
          <w:sz w:val="24"/>
          <w:szCs w:val="24"/>
        </w:rPr>
        <w:t>“Visualizing China’s Imperial Order in Eurasia (1500 – 1800)”, International symposium at the University of Alberta, July 19-21, 2016</w:t>
      </w:r>
    </w:p>
    <w:p w:rsidR="002E039D" w:rsidRPr="002E039D" w:rsidRDefault="002E039D" w:rsidP="002E039D">
      <w:pPr>
        <w:pStyle w:val="ListParagraph"/>
        <w:numPr>
          <w:ilvl w:val="0"/>
          <w:numId w:val="1"/>
        </w:numPr>
      </w:pPr>
      <w:r w:rsidRPr="002E039D">
        <w:t xml:space="preserve">A symposium with a view of assessing Qing China’s order and power in Eurasian history by interpreting visual materials. Twelve scholars from over the world presented their studies partly based on individual items from the </w:t>
      </w:r>
      <w:proofErr w:type="spellStart"/>
      <w:r w:rsidRPr="002E039D">
        <w:t>Mactaggart</w:t>
      </w:r>
      <w:proofErr w:type="spellEnd"/>
      <w:r w:rsidRPr="002E039D">
        <w:t xml:space="preserve"> Art Collection.</w:t>
      </w:r>
    </w:p>
    <w:p w:rsidR="002E039D" w:rsidRPr="002E039D" w:rsidRDefault="002E039D" w:rsidP="002E039D">
      <w:pPr>
        <w:rPr>
          <w:rFonts w:ascii="Times New Roman" w:hAnsi="Times New Roman" w:cs="Times New Roman"/>
          <w:b/>
          <w:sz w:val="24"/>
          <w:szCs w:val="24"/>
        </w:rPr>
      </w:pPr>
    </w:p>
    <w:p w:rsidR="002E039D" w:rsidRPr="002E039D" w:rsidRDefault="002E039D" w:rsidP="002E039D">
      <w:pPr>
        <w:rPr>
          <w:rFonts w:ascii="Times New Roman" w:hAnsi="Times New Roman" w:cs="Times New Roman"/>
          <w:sz w:val="24"/>
          <w:szCs w:val="24"/>
        </w:rPr>
      </w:pPr>
      <w:r w:rsidRPr="002E039D">
        <w:rPr>
          <w:rFonts w:ascii="Times New Roman" w:hAnsi="Times New Roman" w:cs="Times New Roman"/>
          <w:b/>
          <w:sz w:val="24"/>
          <w:szCs w:val="24"/>
        </w:rPr>
        <w:t>Peer-Reviewing Articles for</w:t>
      </w:r>
    </w:p>
    <w:p w:rsidR="002E039D" w:rsidRPr="002E039D" w:rsidRDefault="002E039D" w:rsidP="002E039D">
      <w:pPr>
        <w:contextualSpacing/>
        <w:rPr>
          <w:rFonts w:ascii="Times New Roman" w:hAnsi="Times New Roman" w:cs="Times New Roman"/>
          <w:sz w:val="24"/>
          <w:szCs w:val="24"/>
        </w:rPr>
      </w:pPr>
      <w:r w:rsidRPr="002E039D">
        <w:rPr>
          <w:rFonts w:ascii="Times New Roman" w:hAnsi="Times New Roman" w:cs="Times New Roman"/>
          <w:i/>
          <w:sz w:val="24"/>
          <w:szCs w:val="24"/>
        </w:rPr>
        <w:t>Chinese Cultural Relics</w:t>
      </w:r>
      <w:r w:rsidRPr="002E039D">
        <w:rPr>
          <w:rFonts w:ascii="Times New Roman" w:hAnsi="Times New Roman" w:cs="Times New Roman"/>
          <w:sz w:val="24"/>
          <w:szCs w:val="24"/>
        </w:rPr>
        <w:t xml:space="preserve"> (Minneapolis, MN: East View Press. The English edition of the Beijing-based Chinese archaeology journal </w:t>
      </w:r>
      <w:proofErr w:type="spellStart"/>
      <w:r w:rsidRPr="002E039D">
        <w:rPr>
          <w:rFonts w:ascii="Times New Roman" w:hAnsi="Times New Roman" w:cs="Times New Roman"/>
          <w:i/>
          <w:sz w:val="24"/>
          <w:szCs w:val="24"/>
        </w:rPr>
        <w:t>Wenwu</w:t>
      </w:r>
      <w:proofErr w:type="spellEnd"/>
      <w:r w:rsidRPr="002E039D">
        <w:rPr>
          <w:rFonts w:ascii="Times New Roman" w:hAnsi="Times New Roman" w:cs="Times New Roman"/>
          <w:sz w:val="24"/>
          <w:szCs w:val="24"/>
        </w:rPr>
        <w:t xml:space="preserve"> </w:t>
      </w:r>
      <w:r w:rsidRPr="002E039D">
        <w:rPr>
          <w:rFonts w:ascii="Times New Roman" w:hAnsi="Times New Roman" w:cs="Times New Roman"/>
          <w:sz w:val="24"/>
          <w:szCs w:val="24"/>
        </w:rPr>
        <w:t>文物</w:t>
      </w:r>
      <w:r w:rsidRPr="002E039D">
        <w:rPr>
          <w:rFonts w:ascii="Times New Roman" w:hAnsi="Times New Roman" w:cs="Times New Roman"/>
          <w:sz w:val="24"/>
          <w:szCs w:val="24"/>
        </w:rPr>
        <w:t>), 2015</w:t>
      </w:r>
    </w:p>
    <w:p w:rsidR="002E039D" w:rsidRPr="002E039D" w:rsidRDefault="002E039D" w:rsidP="002E039D">
      <w:pPr>
        <w:rPr>
          <w:rFonts w:ascii="Times New Roman" w:hAnsi="Times New Roman" w:cs="Times New Roman"/>
          <w:sz w:val="24"/>
          <w:szCs w:val="24"/>
        </w:rPr>
      </w:pPr>
    </w:p>
    <w:p w:rsidR="002E039D" w:rsidRPr="002E039D" w:rsidRDefault="002E039D" w:rsidP="002E039D">
      <w:pPr>
        <w:rPr>
          <w:rFonts w:ascii="Times New Roman" w:hAnsi="Times New Roman" w:cs="Times New Roman"/>
          <w:b/>
          <w:sz w:val="24"/>
          <w:szCs w:val="24"/>
        </w:rPr>
      </w:pPr>
      <w:r w:rsidRPr="002E039D">
        <w:rPr>
          <w:rFonts w:ascii="Times New Roman" w:hAnsi="Times New Roman" w:cs="Times New Roman"/>
          <w:b/>
          <w:sz w:val="24"/>
          <w:szCs w:val="24"/>
        </w:rPr>
        <w:t>Consultant and Appraiser of Chinese Bibliographical Documents</w:t>
      </w:r>
    </w:p>
    <w:p w:rsidR="002E039D" w:rsidRPr="002E039D" w:rsidRDefault="002E039D" w:rsidP="002E039D">
      <w:pPr>
        <w:rPr>
          <w:rFonts w:ascii="Times New Roman" w:hAnsi="Times New Roman" w:cs="Times New Roman"/>
          <w:sz w:val="24"/>
          <w:szCs w:val="24"/>
        </w:rPr>
      </w:pPr>
      <w:r w:rsidRPr="002E039D">
        <w:rPr>
          <w:rFonts w:ascii="Times New Roman" w:hAnsi="Times New Roman" w:cs="Times New Roman"/>
          <w:sz w:val="24"/>
          <w:szCs w:val="24"/>
        </w:rPr>
        <w:lastRenderedPageBreak/>
        <w:t>The University of British Columbia, Asian Library, and Rare Books &amp; Special Collections (RBSC), 2012 – 2014</w:t>
      </w:r>
    </w:p>
    <w:p w:rsidR="002E039D" w:rsidRPr="002E039D" w:rsidRDefault="002E039D" w:rsidP="002E039D">
      <w:pPr>
        <w:contextualSpacing/>
        <w:rPr>
          <w:rFonts w:ascii="Times New Roman" w:hAnsi="Times New Roman" w:cs="Times New Roman"/>
          <w:sz w:val="24"/>
          <w:szCs w:val="24"/>
        </w:rPr>
      </w:pPr>
    </w:p>
    <w:p w:rsidR="002E039D" w:rsidRPr="002E039D" w:rsidRDefault="002E039D" w:rsidP="002E039D">
      <w:pPr>
        <w:rPr>
          <w:rFonts w:ascii="Times New Roman" w:hAnsi="Times New Roman" w:cs="Times New Roman"/>
          <w:b/>
          <w:sz w:val="24"/>
          <w:szCs w:val="24"/>
        </w:rPr>
      </w:pPr>
      <w:r w:rsidRPr="002E039D">
        <w:rPr>
          <w:rFonts w:ascii="Times New Roman" w:hAnsi="Times New Roman" w:cs="Times New Roman"/>
          <w:b/>
          <w:sz w:val="24"/>
          <w:szCs w:val="24"/>
        </w:rPr>
        <w:t>Senior Editor</w:t>
      </w:r>
    </w:p>
    <w:p w:rsidR="002E039D" w:rsidRPr="002E039D" w:rsidRDefault="002E039D" w:rsidP="002E039D">
      <w:pPr>
        <w:ind w:left="567" w:hanging="567"/>
        <w:rPr>
          <w:rFonts w:ascii="Times New Roman" w:hAnsi="Times New Roman" w:cs="Times New Roman"/>
          <w:sz w:val="24"/>
          <w:szCs w:val="24"/>
        </w:rPr>
      </w:pPr>
      <w:r w:rsidRPr="002E039D">
        <w:rPr>
          <w:rFonts w:ascii="Times New Roman" w:hAnsi="Times New Roman" w:cs="Times New Roman"/>
          <w:sz w:val="24"/>
          <w:szCs w:val="24"/>
        </w:rPr>
        <w:t>People’s Publishing House and Oriental Press (Beijing, China), 1992 – 2002</w:t>
      </w:r>
    </w:p>
    <w:p w:rsidR="002E039D" w:rsidRPr="002E039D" w:rsidRDefault="002E039D" w:rsidP="002E039D">
      <w:pPr>
        <w:rPr>
          <w:rFonts w:ascii="Times New Roman" w:hAnsi="Times New Roman" w:cs="Times New Roman"/>
          <w:sz w:val="24"/>
          <w:szCs w:val="24"/>
        </w:rPr>
      </w:pPr>
      <w:r w:rsidRPr="002E039D">
        <w:rPr>
          <w:rFonts w:ascii="Times New Roman" w:hAnsi="Times New Roman" w:cs="Times New Roman"/>
          <w:sz w:val="24"/>
          <w:szCs w:val="24"/>
        </w:rPr>
        <w:t>Main responsibility was to edit manuscripts on Chinese history, archaeology, and fine arts.</w:t>
      </w:r>
    </w:p>
    <w:p w:rsidR="002E039D" w:rsidRDefault="002E039D"/>
    <w:p w:rsidR="002E039D" w:rsidRPr="002E039D" w:rsidRDefault="002E039D">
      <w:pPr>
        <w:rPr>
          <w:rStyle w:val="BookTitle"/>
          <w:rFonts w:ascii="Times New Roman" w:hAnsi="Times New Roman" w:cs="Times New Roman"/>
          <w:sz w:val="24"/>
          <w:szCs w:val="24"/>
        </w:rPr>
      </w:pPr>
      <w:r w:rsidRPr="00333141">
        <w:rPr>
          <w:rStyle w:val="BookTitle"/>
          <w:rFonts w:ascii="Times New Roman" w:hAnsi="Times New Roman" w:cs="Times New Roman"/>
          <w:sz w:val="24"/>
          <w:szCs w:val="24"/>
          <w:highlight w:val="yellow"/>
        </w:rPr>
        <w:t>Consulting service</w:t>
      </w:r>
    </w:p>
    <w:p w:rsidR="002E039D" w:rsidRDefault="00406143">
      <w:pPr>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hint="eastAsia"/>
          <w:sz w:val="24"/>
          <w:szCs w:val="24"/>
        </w:rPr>
        <w:t>my knowledge and skills, I also provide consulting service:</w:t>
      </w:r>
    </w:p>
    <w:p w:rsidR="00976737" w:rsidRDefault="00976737" w:rsidP="00976737">
      <w:pPr>
        <w:pStyle w:val="ListParagraph"/>
        <w:numPr>
          <w:ilvl w:val="0"/>
          <w:numId w:val="1"/>
        </w:numPr>
      </w:pPr>
      <w:r>
        <w:rPr>
          <w:rFonts w:hint="eastAsia"/>
        </w:rPr>
        <w:t>A</w:t>
      </w:r>
      <w:r>
        <w:t>uthentication, provenance studies, and appraisal of Chinese literati painting and calligraphy, old Chinese books, manuscripts, rubbings, old maps, and other Chinese bibliographical documents</w:t>
      </w:r>
    </w:p>
    <w:p w:rsidR="00C477D3" w:rsidRDefault="00C477D3" w:rsidP="00C477D3">
      <w:pPr>
        <w:pStyle w:val="ListParagraph"/>
        <w:numPr>
          <w:ilvl w:val="0"/>
          <w:numId w:val="1"/>
        </w:numPr>
      </w:pPr>
      <w:r>
        <w:rPr>
          <w:rFonts w:hint="eastAsia"/>
        </w:rPr>
        <w:t>L</w:t>
      </w:r>
      <w:r>
        <w:t>inguistic and communication analysis</w:t>
      </w:r>
    </w:p>
    <w:p w:rsidR="00C477D3" w:rsidRDefault="00990BAA" w:rsidP="00C477D3">
      <w:pPr>
        <w:pStyle w:val="ListParagraph"/>
        <w:numPr>
          <w:ilvl w:val="0"/>
          <w:numId w:val="1"/>
        </w:numPr>
      </w:pPr>
      <w:r>
        <w:t>Contract h</w:t>
      </w:r>
      <w:r w:rsidR="00C477D3">
        <w:t>istorical research</w:t>
      </w:r>
    </w:p>
    <w:p w:rsidR="00990BAA" w:rsidRDefault="00990BAA" w:rsidP="00C477D3">
      <w:pPr>
        <w:pStyle w:val="ListParagraph"/>
        <w:numPr>
          <w:ilvl w:val="0"/>
          <w:numId w:val="1"/>
        </w:numPr>
      </w:pPr>
      <w:r>
        <w:t>Lectures in Chinese history, culture, and language</w:t>
      </w:r>
    </w:p>
    <w:p w:rsidR="00990BAA" w:rsidRDefault="00990BAA" w:rsidP="00C477D3">
      <w:pPr>
        <w:pStyle w:val="ListParagraph"/>
        <w:numPr>
          <w:ilvl w:val="0"/>
          <w:numId w:val="1"/>
        </w:numPr>
      </w:pPr>
      <w:r>
        <w:t>Bibliographic service</w:t>
      </w:r>
    </w:p>
    <w:p w:rsidR="00976737" w:rsidRDefault="00976737" w:rsidP="00976737">
      <w:pPr>
        <w:pStyle w:val="ListParagraph"/>
        <w:numPr>
          <w:ilvl w:val="0"/>
          <w:numId w:val="1"/>
        </w:numPr>
      </w:pPr>
      <w:r>
        <w:t>Chinese-English translation</w:t>
      </w:r>
      <w:r>
        <w:rPr>
          <w:lang w:val="en-US"/>
        </w:rPr>
        <w:t>, including translation from literary Chinese into English</w:t>
      </w:r>
    </w:p>
    <w:p w:rsidR="00406143" w:rsidRDefault="00C477D3" w:rsidP="00C477D3">
      <w:pPr>
        <w:pStyle w:val="ListParagraph"/>
        <w:numPr>
          <w:ilvl w:val="0"/>
          <w:numId w:val="1"/>
        </w:numPr>
      </w:pPr>
      <w:r>
        <w:t>Chin</w:t>
      </w:r>
      <w:r w:rsidR="001A779F">
        <w:t>a-related information</w:t>
      </w:r>
      <w:r w:rsidR="00990BAA">
        <w:t>, including cultural policies, social customs, and regional cultures, etc.</w:t>
      </w:r>
    </w:p>
    <w:p w:rsidR="00C477D3" w:rsidRDefault="00C477D3" w:rsidP="00C477D3">
      <w:pPr>
        <w:pStyle w:val="ListParagraph"/>
        <w:numPr>
          <w:ilvl w:val="0"/>
          <w:numId w:val="1"/>
        </w:numPr>
      </w:pPr>
      <w:r>
        <w:rPr>
          <w:rFonts w:hint="eastAsia"/>
        </w:rPr>
        <w:t xml:space="preserve">Intercultural communication (specifically between China and </w:t>
      </w:r>
      <w:r w:rsidR="00990BAA">
        <w:t>Canada</w:t>
      </w:r>
      <w:r>
        <w:rPr>
          <w:rFonts w:hint="eastAsia"/>
        </w:rPr>
        <w:t>)</w:t>
      </w:r>
      <w:r w:rsidR="00990BAA">
        <w:t xml:space="preserve">, including education, </w:t>
      </w:r>
      <w:r w:rsidR="001A779F">
        <w:rPr>
          <w:rFonts w:hint="eastAsia"/>
        </w:rPr>
        <w:t xml:space="preserve">private </w:t>
      </w:r>
      <w:r w:rsidR="00976737">
        <w:rPr>
          <w:rFonts w:hint="eastAsia"/>
        </w:rPr>
        <w:t>travel</w:t>
      </w:r>
      <w:r w:rsidR="001A779F">
        <w:t xml:space="preserve">, </w:t>
      </w:r>
      <w:r w:rsidR="00990BAA">
        <w:t xml:space="preserve">business </w:t>
      </w:r>
      <w:r w:rsidR="001A779F">
        <w:rPr>
          <w:rFonts w:hint="eastAsia"/>
        </w:rPr>
        <w:t>tour</w:t>
      </w:r>
      <w:r w:rsidR="00875BDC">
        <w:rPr>
          <w:rFonts w:hint="eastAsia"/>
        </w:rPr>
        <w:t>, exhibition,</w:t>
      </w:r>
      <w:r w:rsidR="001A779F">
        <w:rPr>
          <w:rFonts w:hint="eastAsia"/>
        </w:rPr>
        <w:t xml:space="preserve"> </w:t>
      </w:r>
      <w:r w:rsidR="00875BDC">
        <w:rPr>
          <w:rFonts w:hint="eastAsia"/>
        </w:rPr>
        <w:t xml:space="preserve">and </w:t>
      </w:r>
      <w:r w:rsidR="001A779F">
        <w:rPr>
          <w:rFonts w:hint="eastAsia"/>
        </w:rPr>
        <w:t>conference</w:t>
      </w:r>
    </w:p>
    <w:p w:rsidR="00C477D3" w:rsidRPr="00C477D3" w:rsidRDefault="004D5FA3" w:rsidP="00976737">
      <w:pPr>
        <w:pStyle w:val="ListParagraph"/>
        <w:numPr>
          <w:ilvl w:val="0"/>
          <w:numId w:val="1"/>
        </w:numPr>
      </w:pPr>
      <w:r>
        <w:t>E</w:t>
      </w:r>
      <w:r>
        <w:rPr>
          <w:rFonts w:hint="eastAsia"/>
        </w:rPr>
        <w:t>diting and publishing</w:t>
      </w:r>
      <w:r w:rsidR="00C477D3">
        <w:rPr>
          <w:rFonts w:hint="eastAsia"/>
        </w:rPr>
        <w:t xml:space="preserve"> in Chinese</w:t>
      </w:r>
      <w:r w:rsidR="00976737">
        <w:rPr>
          <w:rFonts w:hint="eastAsia"/>
        </w:rPr>
        <w:t xml:space="preserve"> and English</w:t>
      </w:r>
    </w:p>
    <w:sectPr w:rsidR="00C477D3" w:rsidRPr="00C47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57ABC"/>
    <w:multiLevelType w:val="hybridMultilevel"/>
    <w:tmpl w:val="A9666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B6A"/>
    <w:rsid w:val="001A779F"/>
    <w:rsid w:val="002E039D"/>
    <w:rsid w:val="00333141"/>
    <w:rsid w:val="00406143"/>
    <w:rsid w:val="004D5FA3"/>
    <w:rsid w:val="007D36EE"/>
    <w:rsid w:val="00875BDC"/>
    <w:rsid w:val="00976737"/>
    <w:rsid w:val="00990BAA"/>
    <w:rsid w:val="00AC5B6A"/>
    <w:rsid w:val="00C477D3"/>
    <w:rsid w:val="00D51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E039D"/>
    <w:pPr>
      <w:widowControl w:val="0"/>
      <w:spacing w:after="0" w:line="240" w:lineRule="auto"/>
      <w:outlineLvl w:val="0"/>
    </w:pPr>
    <w:rPr>
      <w:rFonts w:ascii="Times New Roman" w:eastAsia="宋体" w:hAnsi="Times New Roman" w:cs="Times New Roman"/>
      <w:b/>
      <w:smallCaps/>
      <w:color w:val="000000"/>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039D"/>
    <w:rPr>
      <w:rFonts w:ascii="Times New Roman" w:eastAsia="宋体" w:hAnsi="Times New Roman" w:cs="Times New Roman"/>
      <w:b/>
      <w:smallCaps/>
      <w:color w:val="000000"/>
      <w:sz w:val="24"/>
      <w:szCs w:val="24"/>
      <w:lang w:val="en-CA"/>
    </w:rPr>
  </w:style>
  <w:style w:type="paragraph" w:styleId="ListParagraph">
    <w:name w:val="List Paragraph"/>
    <w:basedOn w:val="Normal"/>
    <w:uiPriority w:val="34"/>
    <w:qFormat/>
    <w:rsid w:val="002E039D"/>
    <w:pPr>
      <w:widowControl w:val="0"/>
      <w:spacing w:after="0" w:line="240" w:lineRule="auto"/>
      <w:ind w:left="720"/>
      <w:contextualSpacing/>
    </w:pPr>
    <w:rPr>
      <w:rFonts w:ascii="Times New Roman" w:eastAsia="宋体" w:hAnsi="Times New Roman" w:cs="Times New Roman"/>
      <w:color w:val="000000"/>
      <w:sz w:val="24"/>
      <w:szCs w:val="24"/>
      <w:lang w:val="en-CA"/>
    </w:rPr>
  </w:style>
  <w:style w:type="character" w:styleId="BookTitle">
    <w:name w:val="Book Title"/>
    <w:basedOn w:val="DefaultParagraphFont"/>
    <w:uiPriority w:val="33"/>
    <w:qFormat/>
    <w:rsid w:val="002E039D"/>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E039D"/>
    <w:pPr>
      <w:widowControl w:val="0"/>
      <w:spacing w:after="0" w:line="240" w:lineRule="auto"/>
      <w:outlineLvl w:val="0"/>
    </w:pPr>
    <w:rPr>
      <w:rFonts w:ascii="Times New Roman" w:eastAsia="宋体" w:hAnsi="Times New Roman" w:cs="Times New Roman"/>
      <w:b/>
      <w:smallCaps/>
      <w:color w:val="000000"/>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039D"/>
    <w:rPr>
      <w:rFonts w:ascii="Times New Roman" w:eastAsia="宋体" w:hAnsi="Times New Roman" w:cs="Times New Roman"/>
      <w:b/>
      <w:smallCaps/>
      <w:color w:val="000000"/>
      <w:sz w:val="24"/>
      <w:szCs w:val="24"/>
      <w:lang w:val="en-CA"/>
    </w:rPr>
  </w:style>
  <w:style w:type="paragraph" w:styleId="ListParagraph">
    <w:name w:val="List Paragraph"/>
    <w:basedOn w:val="Normal"/>
    <w:uiPriority w:val="34"/>
    <w:qFormat/>
    <w:rsid w:val="002E039D"/>
    <w:pPr>
      <w:widowControl w:val="0"/>
      <w:spacing w:after="0" w:line="240" w:lineRule="auto"/>
      <w:ind w:left="720"/>
      <w:contextualSpacing/>
    </w:pPr>
    <w:rPr>
      <w:rFonts w:ascii="Times New Roman" w:eastAsia="宋体" w:hAnsi="Times New Roman" w:cs="Times New Roman"/>
      <w:color w:val="000000"/>
      <w:sz w:val="24"/>
      <w:szCs w:val="24"/>
      <w:lang w:val="en-CA"/>
    </w:rPr>
  </w:style>
  <w:style w:type="character" w:styleId="BookTitle">
    <w:name w:val="Book Title"/>
    <w:basedOn w:val="DefaultParagraphFont"/>
    <w:uiPriority w:val="33"/>
    <w:qFormat/>
    <w:rsid w:val="002E039D"/>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lianbin</dc:creator>
  <cp:keywords/>
  <dc:description/>
  <cp:lastModifiedBy>lianbin</cp:lastModifiedBy>
  <cp:revision>11</cp:revision>
  <dcterms:created xsi:type="dcterms:W3CDTF">2018-07-07T15:31:00Z</dcterms:created>
  <dcterms:modified xsi:type="dcterms:W3CDTF">2018-07-12T03:11:00Z</dcterms:modified>
</cp:coreProperties>
</file>