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《Makefile 详解及使用方法》</w:t>
      </w:r>
    </w:p>
    <w:p>
      <w:pPr>
        <w:pStyle w:val="text"/>
      </w:pPr>
      <w:r>
        <w:t xml:space="preserve">*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是一个用于自动化编译程序的脚本文件，它可以帮助我们管理项目的编译过程，特别是在项目包含多个源文件时，使用 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可以大大提高编译效率。下面我们来详细解读你提供的 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文件，并说明如何使用它。
</w:t>
      </w:r>
    </w:p>
    <w:p>
      <w:pPr>
        <w:pStyle w:val="Heading3"/>
      </w:pPr>
      <w:r>
        <w:t xml:space="preserve">Makefile 文件详细解读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CC = arm-linux-gnueabihf-gcc
</w:t>
            </w:r>
          </w:p>
          <w:p>
            <w:pPr>
              <w:pStyle w:val="text"/>
            </w:pPr>
            <w:r>
              <w:t xml:space="preserve">CFLAGS = -Wall -O2 -I./LIB/lcd_font -I./SYSTEM/show_bmp_to_lcd -std=c99  # 启用C99标准
</w:t>
            </w:r>
          </w:p>
          <w:p>
            <w:pPr>
              <w:pStyle w:val="text"/>
            </w:pPr>
            <w:r>
              <w:t xml:space="preserve">LDFLAGS = -L./LIB/lcd_font
</w:t>
            </w:r>
          </w:p>
          <w:p>
            <w:pPr>
              <w:pStyle w:val="text"/>
            </w:pPr>
            <w:r>
              <w:t xml:space="preserve">LDLIBS = -llcd_font -lm
</w:t>
            </w:r>
          </w:p>
          <w:p>
            <w:pPr>
              <w:pStyle w:val="text"/>
            </w:pPr>
            <w:r>
              <w:t xml:space="preserve">EXEC = p
</w:t>
            </w:r>
          </w:p>
          <w:p>
            <w:pPr>
              <w:pStyle w:val="text"/>
            </w:pPr>
            <w:r>
              <w:t xml:space="preserve">OBJS = USER/p.o SYSTEM/show_bmp_to_lcd/show_bmp_to_lcd.o
</w:t>
            </w:r>
          </w:p>
          <w:p>
            <w:pPr>
              <w:pStyle w:val="text"/>
            </w:pPr>
            <w:r>
              <w:t xml:space="preserve">all: $(EXEC)
</w:t>
            </w:r>
          </w:p>
          <w:p>
            <w:pPr>
              <w:pStyle w:val="text"/>
            </w:pPr>
            <w:r>
              <w:t xml:space="preserve">    rm -f $(OBJS)  # 编译完成后删除.o文件
</w:t>
            </w:r>
          </w:p>
          <w:p>
            <w:pPr>
              <w:pStyle w:val="text"/>
            </w:pPr>
            <w:r>
              <w:t xml:space="preserve">$(EXEC): $(OBJS)
</w:t>
            </w:r>
          </w:p>
          <w:p>
            <w:pPr>
              <w:pStyle w:val="text"/>
            </w:pPr>
            <w:r>
              <w:t xml:space="preserve">    $(CC) $(LDFLAGS) -o $@ $^ $(LDLIBS)
</w:t>
            </w:r>
          </w:p>
          <w:p>
            <w:pPr>
              <w:pStyle w:val="text"/>
            </w:pPr>
            <w:r>
              <w:t xml:space="preserve">USER/p.o: USER/p.c LIB/lcd_font/lcd_font.h SYSTEM/show_bmp_to_lcd/show_bmp_to_lcd.h
</w:t>
            </w:r>
          </w:p>
          <w:p>
            <w:pPr>
              <w:pStyle w:val="text"/>
            </w:pPr>
            <w:r>
              <w:t xml:space="preserve">    $(CC) $(CFLAGS) -c $&lt; -o $@
</w:t>
            </w:r>
          </w:p>
          <w:p>
            <w:pPr>
              <w:pStyle w:val="text"/>
            </w:pPr>
            <w:r>
              <w:t xml:space="preserve">SYSTEM/show_bmp_to_lcd/show_bmp_to_lcd.o: SYSTEM/show_bmp_to_lcd/show_bmp_to_lcd.c SYSTEM/show_bmp_to_lcd/show_bmp_to_lcd.h
</w:t>
            </w:r>
          </w:p>
          <w:p>
            <w:pPr>
              <w:pStyle w:val="text"/>
            </w:pPr>
            <w:r>
              <w:t xml:space="preserve">    $(CC) $(CFLAGS) -c $&lt; -o $@
</w:t>
            </w:r>
          </w:p>
          <w:p>
            <w:pPr>
              <w:pStyle w:val="text"/>
            </w:pPr>
            <w:r>
              <w:t xml:space="preserve">clean:
</w:t>
            </w:r>
          </w:p>
          <w:p>
            <w:pPr>
              <w:pStyle w:val="text"/>
            </w:pPr>
            <w:r>
              <w:t xml:space="preserve">    rm -f $(OBJS) $(EXEC)
</w:t>
            </w:r>
          </w:p>
        </w:tc>
      </w:tr>
    </w:tbl>
    <w:p>
      <w:pPr>
        <w:pStyle w:val="Heading4"/>
      </w:pPr>
      <w:r>
        <w:t xml:space="preserve">1. 变量定义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编译器和编译选项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CC = arm-linux-gnueabihf-gcc</w:t>
      </w:r>
      <w:r>
        <w:t xml:space="preserve">：指定使用 </w:t>
      </w:r>
      <w:r>
        <w:rPr>
          <w:highlight w:val="cyan"/>
          <w:highlightCs w:val="cyan"/>
          <w:bdr w:val="single" w:color="dee0e3" w:sz="4" w:space="0"/>
        </w:rPr>
        <w:t xml:space="preserve">arm-linux-gnueabihf-gcc</w:t>
      </w:r>
      <w:r>
        <w:t xml:space="preserve"> 作为编译器，这通常用于交叉编译，目标平台是 ARM 架构。
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CFLAGS = -Wall -O2 -I./LIB/lcd_font -I./SYSTEM/show_bmp_to_lcd -std=c99</w:t>
      </w:r>
      <w:r>
        <w:t xml:space="preserve">：编译选项，</w:t>
      </w:r>
      <w:r>
        <w:rPr>
          <w:highlight w:val="cyan"/>
          <w:highlightCs w:val="cyan"/>
          <w:bdr w:val="single" w:color="dee0e3" w:sz="4" w:space="0"/>
        </w:rPr>
        <w:t xml:space="preserve">-Wall</w:t>
      </w:r>
      <w:r>
        <w:t xml:space="preserve"> 表示显示所有警告信息，</w:t>
      </w:r>
      <w:r>
        <w:rPr>
          <w:highlight w:val="cyan"/>
          <w:highlightCs w:val="cyan"/>
          <w:bdr w:val="single" w:color="dee0e3" w:sz="4" w:space="0"/>
        </w:rPr>
        <w:t xml:space="preserve">-O2</w:t>
      </w:r>
      <w:r>
        <w:t xml:space="preserve"> 表示使用二级优化，</w:t>
      </w:r>
      <w:r>
        <w:rPr>
          <w:highlight w:val="cyan"/>
          <w:highlightCs w:val="cyan"/>
          <w:bdr w:val="single" w:color="dee0e3" w:sz="4" w:space="0"/>
        </w:rPr>
        <w:t xml:space="preserve">-I</w:t>
      </w:r>
      <w:r>
        <w:t xml:space="preserve"> 用于指定头文件的搜索路径，</w:t>
      </w:r>
      <w:r>
        <w:rPr>
          <w:highlight w:val="cyan"/>
          <w:highlightCs w:val="cyan"/>
          <w:bdr w:val="single" w:color="dee0e3" w:sz="4" w:space="0"/>
        </w:rPr>
        <w:t xml:space="preserve">-std=c99</w:t>
      </w:r>
      <w:r>
        <w:t xml:space="preserve"> 表示启用 C99 标准。
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LDFLAGS = -L./LIB/lcd_font</w:t>
      </w:r>
      <w:r>
        <w:t xml:space="preserve">：链接选项，</w:t>
      </w:r>
      <w:r>
        <w:rPr>
          <w:highlight w:val="cyan"/>
          <w:highlightCs w:val="cyan"/>
          <w:bdr w:val="single" w:color="dee0e3" w:sz="4" w:space="0"/>
        </w:rPr>
        <w:t xml:space="preserve">-L</w:t>
      </w:r>
      <w:r>
        <w:t xml:space="preserve"> 用于指定库文件的搜索路径。
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LDLIBS = -llcd_font -lm</w:t>
      </w:r>
      <w:r>
        <w:t xml:space="preserve">：链接的库文件，</w:t>
      </w:r>
      <w:r>
        <w:rPr>
          <w:highlight w:val="cyan"/>
          <w:highlightCs w:val="cyan"/>
          <w:bdr w:val="single" w:color="dee0e3" w:sz="4" w:space="0"/>
        </w:rPr>
        <w:t xml:space="preserve">-llcd_font</w:t>
      </w:r>
      <w:r>
        <w:t xml:space="preserve"> 表示链接 </w:t>
      </w:r>
      <w:r>
        <w:rPr>
          <w:highlight w:val="cyan"/>
          <w:highlightCs w:val="cyan"/>
          <w:bdr w:val="single" w:color="dee0e3" w:sz="4" w:space="0"/>
        </w:rPr>
        <w:t xml:space="preserve">lcd_font</w:t>
      </w:r>
      <w:r>
        <w:t xml:space="preserve"> 库，</w:t>
      </w:r>
      <w:r>
        <w:rPr>
          <w:highlight w:val="cyan"/>
          <w:highlightCs w:val="cyan"/>
          <w:bdr w:val="single" w:color="dee0e3" w:sz="4" w:space="0"/>
        </w:rPr>
        <w:t xml:space="preserve">-lm</w:t>
      </w:r>
      <w:r>
        <w:t xml:space="preserve"> 表示链接数学库。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目标文件和可执行文件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EXEC = p</w:t>
      </w:r>
      <w:r>
        <w:t xml:space="preserve">：指定最终生成的可执行文件名为 </w:t>
      </w:r>
      <w:r>
        <w:rPr>
          <w:highlight w:val="cyan"/>
          <w:highlightCs w:val="cyan"/>
          <w:bdr w:val="single" w:color="dee0e3" w:sz="4" w:space="0"/>
        </w:rPr>
        <w:t xml:space="preserve">p</w:t>
      </w:r>
      <w:r>
        <w:t xml:space="preserve">。
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OBJS = USER/p.o SYSTEM/show_bmp_to_lcd/show_bmp_to_lcd.o</w:t>
      </w:r>
      <w:r>
        <w:t xml:space="preserve">：指定编译过程中生成的中间目标文件。
</w:t>
      </w:r>
    </w:p>
    <w:p>
      <w:pPr>
        <w:pStyle w:val="Heading4"/>
      </w:pPr>
      <w:r>
        <w:t xml:space="preserve">2. 规则定义
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all</w:t>
      </w:r>
      <w:r>
        <w:rPr>
          <w:b/>
          <w:bCs/>
        </w:rPr>
        <w:t xml:space="preserve"> 规则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all: $(EXEC)
</w:t>
            </w:r>
          </w:p>
          <w:p>
            <w:pPr>
              <w:pStyle w:val="text"/>
            </w:pPr>
            <w:r>
              <w:t xml:space="preserve">    rm -f $(OBJS)  # 编译完成后删除.o文件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all</w:t>
      </w:r>
      <w:r>
        <w:t xml:space="preserve"> 是默认的目标，当你在终端中输入 </w:t>
      </w:r>
      <w:r>
        <w:rPr>
          <w:highlight w:val="cyan"/>
          <w:highlightCs w:val="cyan"/>
          <w:bdr w:val="single" w:color="dee0e3" w:sz="4" w:space="0"/>
        </w:rPr>
        <w:t xml:space="preserve">make</w:t>
      </w:r>
      <w:r>
        <w:t xml:space="preserve"> 命令时，会执行 </w:t>
      </w:r>
      <w:r>
        <w:rPr>
          <w:highlight w:val="cyan"/>
          <w:highlightCs w:val="cyan"/>
          <w:bdr w:val="single" w:color="dee0e3" w:sz="4" w:space="0"/>
        </w:rPr>
        <w:t xml:space="preserve">all</w:t>
      </w:r>
      <w:r>
        <w:t xml:space="preserve"> 规则。
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$(EXEC)</w:t>
      </w:r>
      <w:r>
        <w:t xml:space="preserve"> 是 </w:t>
      </w:r>
      <w:r>
        <w:rPr>
          <w:highlight w:val="cyan"/>
          <w:highlightCs w:val="cyan"/>
          <w:bdr w:val="single" w:color="dee0e3" w:sz="4" w:space="0"/>
        </w:rPr>
        <w:t xml:space="preserve">all</w:t>
      </w:r>
      <w:r>
        <w:t xml:space="preserve"> 规则的依赖项，表示在执行 </w:t>
      </w:r>
      <w:r>
        <w:rPr>
          <w:highlight w:val="cyan"/>
          <w:highlightCs w:val="cyan"/>
          <w:bdr w:val="single" w:color="dee0e3" w:sz="4" w:space="0"/>
        </w:rPr>
        <w:t xml:space="preserve">all</w:t>
      </w:r>
      <w:r>
        <w:t xml:space="preserve"> 规则之前，需要先生成可执行文件 </w:t>
      </w:r>
      <w:r>
        <w:rPr>
          <w:highlight w:val="cyan"/>
          <w:highlightCs w:val="cyan"/>
          <w:bdr w:val="single" w:color="dee0e3" w:sz="4" w:space="0"/>
        </w:rPr>
        <w:t xml:space="preserve">p</w:t>
      </w:r>
      <w:r>
        <w:t xml:space="preserve">。
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rm -f $(OBJS)</w:t>
      </w:r>
      <w:r>
        <w:t xml:space="preserve"> 是 </w:t>
      </w:r>
      <w:r>
        <w:rPr>
          <w:highlight w:val="cyan"/>
          <w:highlightCs w:val="cyan"/>
          <w:bdr w:val="single" w:color="dee0e3" w:sz="4" w:space="0"/>
        </w:rPr>
        <w:t xml:space="preserve">all</w:t>
      </w:r>
      <w:r>
        <w:t xml:space="preserve"> 规则的命令，用于在编译完成后删除中间目标文件。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可执行文件生成规则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$(EXEC): $(OBJS)
</w:t>
            </w:r>
          </w:p>
          <w:p>
            <w:pPr>
              <w:pStyle w:val="text"/>
            </w:pPr>
            <w:r>
              <w:t xml:space="preserve">    $(CC) $(LDFLAGS) -o $@ $^ $(LDLIBS)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$(EXEC)</w:t>
      </w:r>
      <w:r>
        <w:t xml:space="preserve"> 是目标，即最终生成的可执行文件 </w:t>
      </w:r>
      <w:r>
        <w:rPr>
          <w:highlight w:val="cyan"/>
          <w:highlightCs w:val="cyan"/>
          <w:bdr w:val="single" w:color="dee0e3" w:sz="4" w:space="0"/>
        </w:rPr>
        <w:t xml:space="preserve">p</w:t>
      </w:r>
      <w:r>
        <w:t xml:space="preserve">。
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$(OBJS)</w:t>
      </w:r>
      <w:r>
        <w:t xml:space="preserve"> 是依赖项，即生成可执行文件所需的中间目标文件。
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$(CC) $(LDFLAGS) -o $@ $^ $(LDLIBS)</w:t>
      </w:r>
      <w:r>
        <w:t xml:space="preserve"> 是命令，</w:t>
      </w:r>
      <w:r>
        <w:rPr>
          <w:highlight w:val="cyan"/>
          <w:highlightCs w:val="cyan"/>
          <w:bdr w:val="single" w:color="dee0e3" w:sz="4" w:space="0"/>
        </w:rPr>
        <w:t xml:space="preserve">$@</w:t>
      </w:r>
      <w:r>
        <w:t xml:space="preserve"> 表示目标文件，即 </w:t>
      </w:r>
      <w:r>
        <w:rPr>
          <w:highlight w:val="cyan"/>
          <w:highlightCs w:val="cyan"/>
          <w:bdr w:val="single" w:color="dee0e3" w:sz="4" w:space="0"/>
        </w:rPr>
        <w:t xml:space="preserve">p</w:t>
      </w:r>
      <w:r>
        <w:t xml:space="preserve">，</w:t>
      </w:r>
      <w:r>
        <w:rPr>
          <w:highlight w:val="cyan"/>
          <w:highlightCs w:val="cyan"/>
          <w:bdr w:val="single" w:color="dee0e3" w:sz="4" w:space="0"/>
        </w:rPr>
        <w:t xml:space="preserve">$^</w:t>
      </w:r>
      <w:r>
        <w:t xml:space="preserve"> 表示所有依赖文件，即 </w:t>
      </w:r>
      <w:r>
        <w:rPr>
          <w:highlight w:val="cyan"/>
          <w:highlightCs w:val="cyan"/>
          <w:bdr w:val="single" w:color="dee0e3" w:sz="4" w:space="0"/>
        </w:rPr>
        <w:t xml:space="preserve">USER/p.o</w:t>
      </w:r>
      <w:r>
        <w:t xml:space="preserve"> 和 </w:t>
      </w:r>
      <w:r>
        <w:rPr>
          <w:highlight w:val="cyan"/>
          <w:highlightCs w:val="cyan"/>
          <w:bdr w:val="single" w:color="dee0e3" w:sz="4" w:space="0"/>
        </w:rPr>
        <w:t xml:space="preserve">SYSTEM/show_bmp_to_lcd/show_bmp_to_lcd.o</w:t>
      </w:r>
      <w:r>
        <w:t xml:space="preserve">。该命令的作用是将所有目标文件链接成可执行文件。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目标文件生成规则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USER/p.o: USER/p.c LIB/lcd_font/lcd_font.h SYSTEM/show_bmp_to_lcd/show_bmp_to_lcd.h
</w:t>
            </w:r>
          </w:p>
          <w:p>
            <w:pPr>
              <w:pStyle w:val="text"/>
            </w:pPr>
            <w:r>
              <w:t xml:space="preserve">    $(CC) $(CFLAGS) -c $&lt; -o $@
</w:t>
            </w:r>
          </w:p>
          <w:p>
            <w:pPr>
              <w:pStyle w:val="text"/>
            </w:pPr>
            <w:r>
              <w:t xml:space="preserve">SYSTEM/show_bmp_to_lcd/show_bmp_to_lcd.o: SYSTEM/show_bmp_to_lcd/show_bmp_to_lcd.c SYSTEM/show_bmp_to_lcd/show_bmp_to_lcd.h
</w:t>
            </w:r>
          </w:p>
          <w:p>
            <w:pPr>
              <w:pStyle w:val="text"/>
            </w:pPr>
            <w:r>
              <w:t xml:space="preserve">    $(CC) $(CFLAGS) -c $&lt; -o $@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t xml:space="preserve">这两个规则分别用于生成 </w:t>
      </w:r>
      <w:r>
        <w:rPr>
          <w:highlight w:val="cyan"/>
          <w:highlightCs w:val="cyan"/>
          <w:bdr w:val="single" w:color="dee0e3" w:sz="4" w:space="0"/>
        </w:rPr>
        <w:t xml:space="preserve">USER/p.o</w:t>
      </w:r>
      <w:r>
        <w:t xml:space="preserve"> 和 </w:t>
      </w:r>
      <w:r>
        <w:rPr>
          <w:highlight w:val="cyan"/>
          <w:highlightCs w:val="cyan"/>
          <w:bdr w:val="single" w:color="dee0e3" w:sz="4" w:space="0"/>
        </w:rPr>
        <w:t xml:space="preserve">SYSTEM/show_bmp_to_lcd/show_bmp_to_lcd.o</w:t>
      </w:r>
      <w:r>
        <w:t xml:space="preserve"> 目标文件。
</w:t>
      </w:r>
    </w:p>
    <w:p>
      <w:pPr>
        <w:pStyle w:val="text"/>
        <w:numPr>
          <w:ilvl w:val="0"/>
          <w:numId w:val="2"/>
        </w:numPr>
      </w:pPr>
      <w:r>
        <w:t xml:space="preserve">每个规则的第一行指定了目标文件和依赖文件，第二行是编译命令，</w:t>
      </w:r>
      <w:r>
        <w:rPr>
          <w:highlight w:val="cyan"/>
          <w:highlightCs w:val="cyan"/>
          <w:bdr w:val="single" w:color="dee0e3" w:sz="4" w:space="0"/>
        </w:rPr>
        <w:t xml:space="preserve">-c</w:t>
      </w:r>
      <w:r>
        <w:t xml:space="preserve"> 表示只编译不链接，</w:t>
      </w:r>
      <w:r>
        <w:rPr>
          <w:highlight w:val="cyan"/>
          <w:highlightCs w:val="cyan"/>
          <w:bdr w:val="single" w:color="dee0e3" w:sz="4" w:space="0"/>
        </w:rPr>
        <w:t xml:space="preserve">$&lt;</w:t>
      </w:r>
      <w:r>
        <w:t xml:space="preserve"> 表示第一个依赖文件，即源文件。
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clean</w:t>
      </w:r>
      <w:r>
        <w:rPr>
          <w:b/>
          <w:bCs/>
        </w:rPr>
        <w:t xml:space="preserve"> 规则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clean:
</w:t>
            </w:r>
          </w:p>
          <w:p>
            <w:pPr>
              <w:pStyle w:val="text"/>
            </w:pPr>
            <w:r>
              <w:t xml:space="preserve">    rm -f $(OBJS) $(EXEC)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clean</w:t>
      </w:r>
      <w:r>
        <w:t xml:space="preserve"> 规则用于清理编译过程中生成的中间目标文件和可执行文件。当你在终端中输入 </w:t>
      </w:r>
      <w:r>
        <w:rPr>
          <w:highlight w:val="cyan"/>
          <w:highlightCs w:val="cyan"/>
          <w:bdr w:val="single" w:color="dee0e3" w:sz="4" w:space="0"/>
        </w:rPr>
        <w:t xml:space="preserve">make clean</w:t>
      </w:r>
      <w:r>
        <w:t xml:space="preserve"> 命令时，会执行该规则。
</w:t>
      </w:r>
    </w:p>
    <w:p>
      <w:pPr>
        <w:pStyle w:val="Heading3"/>
      </w:pPr>
      <w:r>
        <w:t xml:space="preserve">如何使用 Makefile
</w:t>
      </w:r>
    </w:p>
    <w:p>
      <w:pPr>
        <w:pStyle w:val="Heading4"/>
      </w:pPr>
      <w:r>
        <w:t xml:space="preserve">1. 编译项目
</w:t>
      </w:r>
    </w:p>
    <w:p>
      <w:pPr>
        <w:pStyle w:val="text"/>
      </w:pPr>
      <w:r>
        <w:t xml:space="preserve">在终端中，进入 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文件所在的目录，然后输入 </w:t>
      </w:r>
      <w:r>
        <w:rPr>
          <w:highlight w:val="cyan"/>
          <w:highlightCs w:val="cyan"/>
          <w:bdr w:val="single" w:color="dee0e3" w:sz="4" w:space="0"/>
        </w:rPr>
        <w:t xml:space="preserve">make</w:t>
      </w:r>
      <w:r>
        <w:t xml:space="preserve"> 命令，即可开始编译项目。</w:t>
      </w:r>
      <w:r>
        <w:rPr>
          <w:highlight w:val="cyan"/>
          <w:highlightCs w:val="cyan"/>
          <w:bdr w:val="single" w:color="dee0e3" w:sz="4" w:space="0"/>
        </w:rPr>
        <w:t xml:space="preserve">make</w:t>
      </w:r>
      <w:r>
        <w:t xml:space="preserve"> 命令会根据 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文件中的规则，自动编译源文件并链接生成可执行文件。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cd gua
</w:t>
            </w:r>
          </w:p>
          <w:p>
            <w:pPr>
              <w:pStyle w:val="text"/>
            </w:pPr>
            <w:r>
              <w:t xml:space="preserve">make
</w:t>
            </w:r>
          </w:p>
        </w:tc>
      </w:tr>
    </w:tbl>
    <w:p>
      <w:pPr>
        <w:pStyle w:val="Heading4"/>
      </w:pPr>
      <w:r>
        <w:t xml:space="preserve">2. 清理编译结果
</w:t>
      </w:r>
    </w:p>
    <w:p>
      <w:pPr>
        <w:pStyle w:val="text"/>
      </w:pPr>
      <w:r>
        <w:t xml:space="preserve">如果需要清理编译过程中生成的中间目标文件和可执行文件，可以在终端中输入 </w:t>
      </w:r>
      <w:r>
        <w:rPr>
          <w:highlight w:val="cyan"/>
          <w:highlightCs w:val="cyan"/>
          <w:bdr w:val="single" w:color="dee0e3" w:sz="4" w:space="0"/>
        </w:rPr>
        <w:t xml:space="preserve">make clean</w:t>
      </w:r>
      <w:r>
        <w:t xml:space="preserve"> 命令。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make clean
</w:t>
            </w:r>
          </w:p>
        </w:tc>
      </w:tr>
    </w:tbl>
    <w:p>
      <w:pPr>
        <w:pStyle w:val="text"/>
      </w:pPr>
      <w:r>
        <w:t xml:space="preserve">通过以上步骤，你就可以使用 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来管理项目的编译过程了。</w:t>
      </w:r>
      <w:r>
        <w:rPr>
          <w:highlight w:val="cyan"/>
          <w:highlightCs w:val="cyan"/>
          <w:bdr w:val="single" w:color="dee0e3" w:sz="4" w:space="0"/>
        </w:rPr>
        <w:t xml:space="preserve">Makefile</w:t>
      </w:r>
      <w:r>
        <w:t xml:space="preserve"> 会自动检查文件的修改时间，如果某个源文件被修改了，</w:t>
      </w:r>
      <w:r>
        <w:rPr>
          <w:highlight w:val="cyan"/>
          <w:highlightCs w:val="cyan"/>
          <w:bdr w:val="single" w:color="dee0e3" w:sz="4" w:space="0"/>
        </w:rPr>
        <w:t xml:space="preserve">make</w:t>
      </w:r>
      <w:r>
        <w:t xml:space="preserve"> 命令会只重新编译该文件及其依赖的文件，从而提高编译效率。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2025-05-22T03:17:47.440Z</dcterms:created>
  <dcterms:modified xsi:type="dcterms:W3CDTF">2025-05-22T03:17:47.440Z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