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Pr="007B34F7" w:rsidRDefault="00410A04" w:rsidP="00410A04">
      <w:pPr>
        <w:spacing w:line="480" w:lineRule="auto"/>
        <w:jc w:val="center"/>
        <w:rPr>
          <w:rFonts w:ascii="Times New Roman" w:eastAsia="Times New Roman" w:hAnsi="Times New Roman" w:cs="Times New Roman"/>
        </w:rPr>
      </w:pPr>
    </w:p>
    <w:p w:rsidR="00410A04" w:rsidRPr="007B34F7" w:rsidRDefault="00410A04" w:rsidP="00410A04">
      <w:pPr>
        <w:spacing w:line="480" w:lineRule="auto"/>
        <w:jc w:val="center"/>
        <w:rPr>
          <w:rFonts w:ascii="Times New Roman" w:eastAsia="Times New Roman" w:hAnsi="Times New Roman" w:cs="Times New Roman"/>
        </w:rPr>
      </w:pPr>
      <w:r w:rsidRPr="007B34F7">
        <w:rPr>
          <w:rFonts w:ascii="Times New Roman" w:eastAsia="Times New Roman" w:hAnsi="Times New Roman" w:cs="Times New Roman"/>
        </w:rPr>
        <w:t>University of the People</w:t>
      </w:r>
    </w:p>
    <w:p w:rsidR="00410A04" w:rsidRPr="007B34F7" w:rsidRDefault="00410A04" w:rsidP="00410A04">
      <w:pPr>
        <w:spacing w:line="480" w:lineRule="auto"/>
        <w:jc w:val="center"/>
        <w:rPr>
          <w:rFonts w:ascii="Times New Roman" w:eastAsia="Times New Roman" w:hAnsi="Times New Roman" w:cs="Times New Roman"/>
        </w:rPr>
      </w:pPr>
      <w:hyperlink r:id="rId4" w:anchor="section-1" w:tooltip="PHIL 1404-01 Ethics and Social Responsibility - AY2024-T5" w:history="1">
        <w:r w:rsidR="00187928">
          <w:rPr>
            <w:rFonts w:ascii="Times New Roman" w:eastAsia="Times New Roman" w:hAnsi="Times New Roman" w:cs="Times New Roman"/>
          </w:rPr>
          <w:t>AHIST</w:t>
        </w:r>
        <w:r w:rsidRPr="007B34F7">
          <w:rPr>
            <w:rFonts w:ascii="Times New Roman" w:eastAsia="Times New Roman" w:hAnsi="Times New Roman" w:cs="Times New Roman"/>
          </w:rPr>
          <w:t xml:space="preserve"> </w:t>
        </w:r>
        <w:r w:rsidR="00187928">
          <w:rPr>
            <w:rFonts w:ascii="Times New Roman" w:eastAsia="Times New Roman" w:hAnsi="Times New Roman" w:cs="Times New Roman"/>
          </w:rPr>
          <w:t>1401</w:t>
        </w:r>
      </w:hyperlink>
      <w:r w:rsidR="00187928">
        <w:rPr>
          <w:rFonts w:ascii="Times New Roman" w:eastAsia="Times New Roman" w:hAnsi="Times New Roman" w:cs="Times New Roman"/>
        </w:rPr>
        <w:t>Art History</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Unit 1 Written Assignment 1</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410A04" w:rsidRPr="007B34F7" w:rsidRDefault="00410A04" w:rsidP="00410A04">
      <w:pPr>
        <w:spacing w:line="480" w:lineRule="auto"/>
        <w:rPr>
          <w:rFonts w:ascii="Times New Roman" w:hAnsi="Times New Roman" w:cs="Times New Roman"/>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bookmarkStart w:id="0" w:name="_GoBack"/>
      <w:bookmarkEnd w:id="0"/>
    </w:p>
    <w:p w:rsidR="005E3373" w:rsidRPr="00872416" w:rsidRDefault="005E3373" w:rsidP="005E3373">
      <w:pPr>
        <w:rPr>
          <w:rFonts w:ascii="Times New Roman" w:hAnsi="Times New Roman" w:cs="Times New Roman"/>
          <w:b/>
          <w:sz w:val="24"/>
          <w:szCs w:val="24"/>
        </w:rPr>
      </w:pPr>
      <w:r w:rsidRPr="00872416">
        <w:rPr>
          <w:rFonts w:ascii="Times New Roman" w:hAnsi="Times New Roman" w:cs="Times New Roman"/>
          <w:b/>
          <w:sz w:val="24"/>
          <w:szCs w:val="24"/>
        </w:rPr>
        <w:lastRenderedPageBreak/>
        <w:t xml:space="preserve">A Comparative Analysis of the Statue of </w:t>
      </w:r>
      <w:proofErr w:type="spellStart"/>
      <w:r w:rsidRPr="00872416">
        <w:rPr>
          <w:rFonts w:ascii="Times New Roman" w:hAnsi="Times New Roman" w:cs="Times New Roman"/>
          <w:b/>
          <w:sz w:val="24"/>
          <w:szCs w:val="24"/>
        </w:rPr>
        <w:t>Memi</w:t>
      </w:r>
      <w:proofErr w:type="spellEnd"/>
      <w:r w:rsidRPr="00872416">
        <w:rPr>
          <w:rFonts w:ascii="Times New Roman" w:hAnsi="Times New Roman" w:cs="Times New Roman"/>
          <w:b/>
          <w:sz w:val="24"/>
          <w:szCs w:val="24"/>
        </w:rPr>
        <w:t xml:space="preserve"> and Sabu and the Seated Statue of </w:t>
      </w:r>
      <w:proofErr w:type="spellStart"/>
      <w:r w:rsidRPr="00872416">
        <w:rPr>
          <w:rFonts w:ascii="Times New Roman" w:hAnsi="Times New Roman" w:cs="Times New Roman"/>
          <w:b/>
          <w:sz w:val="24"/>
          <w:szCs w:val="24"/>
        </w:rPr>
        <w:t>Gudea</w:t>
      </w:r>
      <w:proofErr w:type="spellEnd"/>
    </w:p>
    <w:p w:rsidR="005E3373" w:rsidRDefault="005E3373" w:rsidP="005E3373">
      <w:pPr>
        <w:rPr>
          <w:rFonts w:ascii="Times New Roman" w:hAnsi="Times New Roman" w:cs="Times New Roman"/>
          <w:sz w:val="24"/>
          <w:szCs w:val="24"/>
        </w:rPr>
      </w:pPr>
    </w:p>
    <w:p w:rsidR="00303097" w:rsidRPr="00303097" w:rsidRDefault="00303097" w:rsidP="005E3373">
      <w:pPr>
        <w:rPr>
          <w:rFonts w:ascii="Times New Roman" w:hAnsi="Times New Roman" w:cs="Times New Roman"/>
          <w:b/>
          <w:sz w:val="24"/>
          <w:szCs w:val="24"/>
        </w:rPr>
      </w:pPr>
      <w:r w:rsidRPr="00303097">
        <w:rPr>
          <w:rFonts w:ascii="Times New Roman" w:hAnsi="Times New Roman" w:cs="Times New Roman"/>
          <w:b/>
          <w:sz w:val="24"/>
          <w:szCs w:val="24"/>
        </w:rPr>
        <w:t>Introduction</w:t>
      </w: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 xml:space="preserve">The ancient world produced a wealth of sculptural masterpieces, each serving distinct purposes within their respective cultures. This essay examines two such works: the Egyptian Statue of </w:t>
      </w:r>
      <w:proofErr w:type="spellStart"/>
      <w:r w:rsidRPr="00872416">
        <w:rPr>
          <w:rFonts w:ascii="Times New Roman" w:hAnsi="Times New Roman" w:cs="Times New Roman"/>
          <w:sz w:val="24"/>
          <w:szCs w:val="24"/>
        </w:rPr>
        <w:t>Memi</w:t>
      </w:r>
      <w:proofErr w:type="spellEnd"/>
      <w:r w:rsidRPr="00872416">
        <w:rPr>
          <w:rFonts w:ascii="Times New Roman" w:hAnsi="Times New Roman" w:cs="Times New Roman"/>
          <w:sz w:val="24"/>
          <w:szCs w:val="24"/>
        </w:rPr>
        <w:t xml:space="preserve"> and Sabu and the Mesopotamian Seated Statue of </w:t>
      </w:r>
      <w:proofErr w:type="spellStart"/>
      <w:r w:rsidRPr="00872416">
        <w:rPr>
          <w:rFonts w:ascii="Times New Roman" w:hAnsi="Times New Roman" w:cs="Times New Roman"/>
          <w:sz w:val="24"/>
          <w:szCs w:val="24"/>
        </w:rPr>
        <w:t>Gudea</w:t>
      </w:r>
      <w:proofErr w:type="spellEnd"/>
      <w:r w:rsidRPr="00872416">
        <w:rPr>
          <w:rFonts w:ascii="Times New Roman" w:hAnsi="Times New Roman" w:cs="Times New Roman"/>
          <w:sz w:val="24"/>
          <w:szCs w:val="24"/>
        </w:rPr>
        <w:t xml:space="preserve">. By </w:t>
      </w:r>
      <w:proofErr w:type="spellStart"/>
      <w:r w:rsidRPr="00872416">
        <w:rPr>
          <w:rFonts w:ascii="Times New Roman" w:hAnsi="Times New Roman" w:cs="Times New Roman"/>
          <w:sz w:val="24"/>
          <w:szCs w:val="24"/>
        </w:rPr>
        <w:t>analyzing</w:t>
      </w:r>
      <w:proofErr w:type="spellEnd"/>
      <w:r w:rsidRPr="00872416">
        <w:rPr>
          <w:rFonts w:ascii="Times New Roman" w:hAnsi="Times New Roman" w:cs="Times New Roman"/>
          <w:sz w:val="24"/>
          <w:szCs w:val="24"/>
        </w:rPr>
        <w:t xml:space="preserve"> their formal qualities and considering their intended functions, we can gain insight into how purpose shaped artistic choices in these civilizations.</w:t>
      </w:r>
    </w:p>
    <w:p w:rsidR="005E3373" w:rsidRPr="00872416" w:rsidRDefault="005E3373" w:rsidP="005E3373">
      <w:pPr>
        <w:rPr>
          <w:rFonts w:ascii="Times New Roman" w:hAnsi="Times New Roman" w:cs="Times New Roman"/>
          <w:sz w:val="24"/>
          <w:szCs w:val="24"/>
        </w:rPr>
      </w:pPr>
    </w:p>
    <w:p w:rsidR="005E3373" w:rsidRPr="00440741" w:rsidRDefault="005E3373" w:rsidP="005E3373">
      <w:pPr>
        <w:rPr>
          <w:rFonts w:ascii="Times New Roman" w:hAnsi="Times New Roman" w:cs="Times New Roman"/>
          <w:b/>
          <w:sz w:val="24"/>
          <w:szCs w:val="24"/>
        </w:rPr>
      </w:pPr>
      <w:r w:rsidRPr="00440741">
        <w:rPr>
          <w:rFonts w:ascii="Times New Roman" w:hAnsi="Times New Roman" w:cs="Times New Roman"/>
          <w:b/>
          <w:sz w:val="24"/>
          <w:szCs w:val="24"/>
        </w:rPr>
        <w:t xml:space="preserve">The Statue of </w:t>
      </w:r>
      <w:proofErr w:type="spellStart"/>
      <w:r w:rsidRPr="00440741">
        <w:rPr>
          <w:rFonts w:ascii="Times New Roman" w:hAnsi="Times New Roman" w:cs="Times New Roman"/>
          <w:b/>
          <w:sz w:val="24"/>
          <w:szCs w:val="24"/>
        </w:rPr>
        <w:t>Memi</w:t>
      </w:r>
      <w:proofErr w:type="spellEnd"/>
      <w:r w:rsidRPr="00440741">
        <w:rPr>
          <w:rFonts w:ascii="Times New Roman" w:hAnsi="Times New Roman" w:cs="Times New Roman"/>
          <w:b/>
          <w:sz w:val="24"/>
          <w:szCs w:val="24"/>
        </w:rPr>
        <w:t xml:space="preserve"> and Sabu: Eternal Companionship</w:t>
      </w:r>
    </w:p>
    <w:p w:rsidR="005E3373"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 xml:space="preserve">Dating from the Old Kingdom period of ancient Egypt (ca. 2686-2181 BCE), the Statue of </w:t>
      </w:r>
      <w:proofErr w:type="spellStart"/>
      <w:r w:rsidRPr="00872416">
        <w:rPr>
          <w:rFonts w:ascii="Times New Roman" w:hAnsi="Times New Roman" w:cs="Times New Roman"/>
          <w:sz w:val="24"/>
          <w:szCs w:val="24"/>
        </w:rPr>
        <w:t>Memi</w:t>
      </w:r>
      <w:proofErr w:type="spellEnd"/>
      <w:r w:rsidRPr="00872416">
        <w:rPr>
          <w:rFonts w:ascii="Times New Roman" w:hAnsi="Times New Roman" w:cs="Times New Roman"/>
          <w:sz w:val="24"/>
          <w:szCs w:val="24"/>
        </w:rPr>
        <w:t xml:space="preserve"> and Sabu depicts a married couple seated side by side (Robins, 2008). Carved from limestone, the sculpture embodies the Egyptian belief in eternal life and the importance of familial bonds in the afterlife (Taylor, 2001). </w:t>
      </w:r>
    </w:p>
    <w:p w:rsidR="004909B6" w:rsidRPr="00872416" w:rsidRDefault="004909B6" w:rsidP="005E3373">
      <w:pPr>
        <w:rPr>
          <w:rFonts w:ascii="Times New Roman" w:hAnsi="Times New Roman" w:cs="Times New Roman"/>
          <w:sz w:val="24"/>
          <w:szCs w:val="24"/>
        </w:rPr>
      </w:pP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 xml:space="preserve">The figures are rendered in a characteristically Egyptian style, with idealized features and rigid, frontal poses. </w:t>
      </w:r>
      <w:proofErr w:type="spellStart"/>
      <w:r w:rsidRPr="00872416">
        <w:rPr>
          <w:rFonts w:ascii="Times New Roman" w:hAnsi="Times New Roman" w:cs="Times New Roman"/>
          <w:sz w:val="24"/>
          <w:szCs w:val="24"/>
        </w:rPr>
        <w:t>Memi</w:t>
      </w:r>
      <w:proofErr w:type="spellEnd"/>
      <w:r w:rsidRPr="00872416">
        <w:rPr>
          <w:rFonts w:ascii="Times New Roman" w:hAnsi="Times New Roman" w:cs="Times New Roman"/>
          <w:sz w:val="24"/>
          <w:szCs w:val="24"/>
        </w:rPr>
        <w:t xml:space="preserve"> and Sabu sit on a shared bench, their bodies turned slightly towards each other while their faces gaze forward. This composition creates a sense of unity and intimacy between the pair. The man's arm is placed protectively around his wife's shoulders, further emphasizing their connection (Hartwig, 2015).</w:t>
      </w:r>
    </w:p>
    <w:p w:rsidR="005E3373" w:rsidRPr="00872416" w:rsidRDefault="005E3373" w:rsidP="005E3373">
      <w:pPr>
        <w:rPr>
          <w:rFonts w:ascii="Times New Roman" w:hAnsi="Times New Roman" w:cs="Times New Roman"/>
          <w:sz w:val="24"/>
          <w:szCs w:val="24"/>
        </w:rPr>
      </w:pP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The sculpture's intended purpose as a funerary object heavily influenced its appearance. Egyptian artisans aimed to create an eternal dwelling place for the deceased's ka (life force). As such, the figures are depicted in their prime, with youthful, idealized features that would persist for eternity. The formal, symmetrical poses reflect the desire for order and stability in the afterlife (</w:t>
      </w:r>
      <w:proofErr w:type="spellStart"/>
      <w:r w:rsidRPr="00872416">
        <w:rPr>
          <w:rFonts w:ascii="Times New Roman" w:hAnsi="Times New Roman" w:cs="Times New Roman"/>
          <w:sz w:val="24"/>
          <w:szCs w:val="24"/>
        </w:rPr>
        <w:t>Assmann</w:t>
      </w:r>
      <w:proofErr w:type="spellEnd"/>
      <w:r w:rsidRPr="00872416">
        <w:rPr>
          <w:rFonts w:ascii="Times New Roman" w:hAnsi="Times New Roman" w:cs="Times New Roman"/>
          <w:sz w:val="24"/>
          <w:szCs w:val="24"/>
        </w:rPr>
        <w:t>, 2005).</w:t>
      </w:r>
    </w:p>
    <w:p w:rsidR="005E3373" w:rsidRPr="00872416" w:rsidRDefault="005E3373" w:rsidP="005E3373">
      <w:pPr>
        <w:rPr>
          <w:rFonts w:ascii="Times New Roman" w:hAnsi="Times New Roman" w:cs="Times New Roman"/>
          <w:sz w:val="24"/>
          <w:szCs w:val="24"/>
        </w:rPr>
      </w:pPr>
    </w:p>
    <w:p w:rsidR="005E3373" w:rsidRPr="004909B6" w:rsidRDefault="005E3373" w:rsidP="005E3373">
      <w:pPr>
        <w:rPr>
          <w:rFonts w:ascii="Times New Roman" w:hAnsi="Times New Roman" w:cs="Times New Roman"/>
          <w:b/>
          <w:sz w:val="24"/>
          <w:szCs w:val="24"/>
        </w:rPr>
      </w:pPr>
      <w:r w:rsidRPr="004909B6">
        <w:rPr>
          <w:rFonts w:ascii="Times New Roman" w:hAnsi="Times New Roman" w:cs="Times New Roman"/>
          <w:b/>
          <w:sz w:val="24"/>
          <w:szCs w:val="24"/>
        </w:rPr>
        <w:t xml:space="preserve">The Seated Statue of </w:t>
      </w:r>
      <w:proofErr w:type="spellStart"/>
      <w:r w:rsidRPr="004909B6">
        <w:rPr>
          <w:rFonts w:ascii="Times New Roman" w:hAnsi="Times New Roman" w:cs="Times New Roman"/>
          <w:b/>
          <w:sz w:val="24"/>
          <w:szCs w:val="24"/>
        </w:rPr>
        <w:t>Gudea</w:t>
      </w:r>
      <w:proofErr w:type="spellEnd"/>
      <w:r w:rsidRPr="004909B6">
        <w:rPr>
          <w:rFonts w:ascii="Times New Roman" w:hAnsi="Times New Roman" w:cs="Times New Roman"/>
          <w:b/>
          <w:sz w:val="24"/>
          <w:szCs w:val="24"/>
        </w:rPr>
        <w:t>: Divine Rulership</w:t>
      </w: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 xml:space="preserve">In contrast, the Seated Statue of </w:t>
      </w:r>
      <w:proofErr w:type="spellStart"/>
      <w:r w:rsidRPr="00872416">
        <w:rPr>
          <w:rFonts w:ascii="Times New Roman" w:hAnsi="Times New Roman" w:cs="Times New Roman"/>
          <w:sz w:val="24"/>
          <w:szCs w:val="24"/>
        </w:rPr>
        <w:t>Gudea</w:t>
      </w:r>
      <w:proofErr w:type="spellEnd"/>
      <w:r w:rsidRPr="00872416">
        <w:rPr>
          <w:rFonts w:ascii="Times New Roman" w:hAnsi="Times New Roman" w:cs="Times New Roman"/>
          <w:sz w:val="24"/>
          <w:szCs w:val="24"/>
        </w:rPr>
        <w:t xml:space="preserve">, created in the Neo-Sumerian period (ca. 2150-2000 BCE), serves a different function. </w:t>
      </w:r>
      <w:proofErr w:type="spellStart"/>
      <w:r w:rsidRPr="00872416">
        <w:rPr>
          <w:rFonts w:ascii="Times New Roman" w:hAnsi="Times New Roman" w:cs="Times New Roman"/>
          <w:sz w:val="24"/>
          <w:szCs w:val="24"/>
        </w:rPr>
        <w:t>Gudea</w:t>
      </w:r>
      <w:proofErr w:type="spellEnd"/>
      <w:r w:rsidRPr="00872416">
        <w:rPr>
          <w:rFonts w:ascii="Times New Roman" w:hAnsi="Times New Roman" w:cs="Times New Roman"/>
          <w:sz w:val="24"/>
          <w:szCs w:val="24"/>
        </w:rPr>
        <w:t xml:space="preserve"> was a ruler of the city-state of Lagash, and this diorite sculpture was likely placed in a temple as a votive offering to the gods (Winter, 2010).</w:t>
      </w:r>
    </w:p>
    <w:p w:rsidR="005E3373" w:rsidRPr="00872416" w:rsidRDefault="005E3373" w:rsidP="005E3373">
      <w:pPr>
        <w:rPr>
          <w:rFonts w:ascii="Times New Roman" w:hAnsi="Times New Roman" w:cs="Times New Roman"/>
          <w:sz w:val="24"/>
          <w:szCs w:val="24"/>
        </w:rPr>
      </w:pP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 xml:space="preserve">The statue depicts </w:t>
      </w:r>
      <w:proofErr w:type="spellStart"/>
      <w:r w:rsidRPr="00872416">
        <w:rPr>
          <w:rFonts w:ascii="Times New Roman" w:hAnsi="Times New Roman" w:cs="Times New Roman"/>
          <w:sz w:val="24"/>
          <w:szCs w:val="24"/>
        </w:rPr>
        <w:t>Gudea</w:t>
      </w:r>
      <w:proofErr w:type="spellEnd"/>
      <w:r w:rsidRPr="00872416">
        <w:rPr>
          <w:rFonts w:ascii="Times New Roman" w:hAnsi="Times New Roman" w:cs="Times New Roman"/>
          <w:sz w:val="24"/>
          <w:szCs w:val="24"/>
        </w:rPr>
        <w:t xml:space="preserve"> seated on a throne, his hands clasped in a gesture of prayer or devotion. Unlike the Egyptian work, this sculpture is fully in the round, meant to be viewed from all angles. </w:t>
      </w:r>
      <w:proofErr w:type="spellStart"/>
      <w:r w:rsidRPr="00872416">
        <w:rPr>
          <w:rFonts w:ascii="Times New Roman" w:hAnsi="Times New Roman" w:cs="Times New Roman"/>
          <w:sz w:val="24"/>
          <w:szCs w:val="24"/>
        </w:rPr>
        <w:t>Gudea's</w:t>
      </w:r>
      <w:proofErr w:type="spellEnd"/>
      <w:r w:rsidRPr="00872416">
        <w:rPr>
          <w:rFonts w:ascii="Times New Roman" w:hAnsi="Times New Roman" w:cs="Times New Roman"/>
          <w:sz w:val="24"/>
          <w:szCs w:val="24"/>
        </w:rPr>
        <w:t xml:space="preserve"> muscular body and alert posture convey strength and </w:t>
      </w:r>
      <w:r w:rsidRPr="00872416">
        <w:rPr>
          <w:rFonts w:ascii="Times New Roman" w:hAnsi="Times New Roman" w:cs="Times New Roman"/>
          <w:sz w:val="24"/>
          <w:szCs w:val="24"/>
        </w:rPr>
        <w:lastRenderedPageBreak/>
        <w:t>authority, while his serene expression and devotional pose emphasize his role as an intermediary between the gods and his people (</w:t>
      </w:r>
      <w:proofErr w:type="spellStart"/>
      <w:r w:rsidRPr="00872416">
        <w:rPr>
          <w:rFonts w:ascii="Times New Roman" w:hAnsi="Times New Roman" w:cs="Times New Roman"/>
          <w:sz w:val="24"/>
          <w:szCs w:val="24"/>
        </w:rPr>
        <w:t>Bahrani</w:t>
      </w:r>
      <w:proofErr w:type="spellEnd"/>
      <w:r w:rsidRPr="00872416">
        <w:rPr>
          <w:rFonts w:ascii="Times New Roman" w:hAnsi="Times New Roman" w:cs="Times New Roman"/>
          <w:sz w:val="24"/>
          <w:szCs w:val="24"/>
        </w:rPr>
        <w:t>, 2017).</w:t>
      </w:r>
    </w:p>
    <w:p w:rsidR="005E3373" w:rsidRPr="00872416" w:rsidRDefault="005E3373" w:rsidP="005E3373">
      <w:pPr>
        <w:rPr>
          <w:rFonts w:ascii="Times New Roman" w:hAnsi="Times New Roman" w:cs="Times New Roman"/>
          <w:sz w:val="24"/>
          <w:szCs w:val="24"/>
        </w:rPr>
      </w:pP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 xml:space="preserve">The sculpture's function as a votive offering influenced its appearance in several ways. The use of hard, durable diorite ensured the statue's longevity, allowing </w:t>
      </w:r>
      <w:proofErr w:type="spellStart"/>
      <w:r w:rsidRPr="00872416">
        <w:rPr>
          <w:rFonts w:ascii="Times New Roman" w:hAnsi="Times New Roman" w:cs="Times New Roman"/>
          <w:sz w:val="24"/>
          <w:szCs w:val="24"/>
        </w:rPr>
        <w:t>Gudea's</w:t>
      </w:r>
      <w:proofErr w:type="spellEnd"/>
      <w:r w:rsidRPr="00872416">
        <w:rPr>
          <w:rFonts w:ascii="Times New Roman" w:hAnsi="Times New Roman" w:cs="Times New Roman"/>
          <w:sz w:val="24"/>
          <w:szCs w:val="24"/>
        </w:rPr>
        <w:t xml:space="preserve"> prayers to continue in perpetuity. The ruler's idealized yet individualized features strike a balance between divine perfection and recognizable portraiture, befitting his status as a semi-divine figure (</w:t>
      </w:r>
      <w:proofErr w:type="spellStart"/>
      <w:r w:rsidRPr="00872416">
        <w:rPr>
          <w:rFonts w:ascii="Times New Roman" w:hAnsi="Times New Roman" w:cs="Times New Roman"/>
          <w:sz w:val="24"/>
          <w:szCs w:val="24"/>
        </w:rPr>
        <w:t>Marchesi</w:t>
      </w:r>
      <w:proofErr w:type="spellEnd"/>
      <w:r w:rsidRPr="00872416">
        <w:rPr>
          <w:rFonts w:ascii="Times New Roman" w:hAnsi="Times New Roman" w:cs="Times New Roman"/>
          <w:sz w:val="24"/>
          <w:szCs w:val="24"/>
        </w:rPr>
        <w:t xml:space="preserve"> &amp; Marchetti, 2011).</w:t>
      </w:r>
    </w:p>
    <w:p w:rsidR="005E3373" w:rsidRPr="00872416" w:rsidRDefault="005E3373" w:rsidP="005E3373">
      <w:pPr>
        <w:rPr>
          <w:rFonts w:ascii="Times New Roman" w:hAnsi="Times New Roman" w:cs="Times New Roman"/>
          <w:sz w:val="24"/>
          <w:szCs w:val="24"/>
        </w:rPr>
      </w:pPr>
    </w:p>
    <w:p w:rsidR="005E3373" w:rsidRPr="006D485D" w:rsidRDefault="005E3373" w:rsidP="005E3373">
      <w:pPr>
        <w:rPr>
          <w:rFonts w:ascii="Times New Roman" w:hAnsi="Times New Roman" w:cs="Times New Roman"/>
          <w:b/>
          <w:sz w:val="24"/>
          <w:szCs w:val="24"/>
        </w:rPr>
      </w:pPr>
      <w:r w:rsidRPr="006D485D">
        <w:rPr>
          <w:rFonts w:ascii="Times New Roman" w:hAnsi="Times New Roman" w:cs="Times New Roman"/>
          <w:b/>
          <w:sz w:val="24"/>
          <w:szCs w:val="24"/>
        </w:rPr>
        <w:t>Comparative Analysis</w:t>
      </w: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 xml:space="preserve">While both sculptures depict seated figures, their compositional approaches differ significantly. The Egyptian work emphasizes frontality and symmetry, with the figures locked in an eternal embrace. The Mesopotamian statue, by contrast, is more dynamic, with </w:t>
      </w:r>
      <w:proofErr w:type="spellStart"/>
      <w:r w:rsidRPr="00872416">
        <w:rPr>
          <w:rFonts w:ascii="Times New Roman" w:hAnsi="Times New Roman" w:cs="Times New Roman"/>
          <w:sz w:val="24"/>
          <w:szCs w:val="24"/>
        </w:rPr>
        <w:t>Gudea's</w:t>
      </w:r>
      <w:proofErr w:type="spellEnd"/>
      <w:r w:rsidRPr="00872416">
        <w:rPr>
          <w:rFonts w:ascii="Times New Roman" w:hAnsi="Times New Roman" w:cs="Times New Roman"/>
          <w:sz w:val="24"/>
          <w:szCs w:val="24"/>
        </w:rPr>
        <w:t xml:space="preserve"> body slightly twisted and his hands actively engaged in prayer (Feldman, 2014).</w:t>
      </w:r>
    </w:p>
    <w:p w:rsidR="005E3373" w:rsidRPr="00872416" w:rsidRDefault="005E3373" w:rsidP="005E3373">
      <w:pPr>
        <w:rPr>
          <w:rFonts w:ascii="Times New Roman" w:hAnsi="Times New Roman" w:cs="Times New Roman"/>
          <w:sz w:val="24"/>
          <w:szCs w:val="24"/>
        </w:rPr>
      </w:pP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 xml:space="preserve">Material choices also reflect differing purposes. The Egyptian limestone allowed for finer detail work, suitable for capturing the nuances of </w:t>
      </w:r>
      <w:proofErr w:type="spellStart"/>
      <w:r w:rsidRPr="00872416">
        <w:rPr>
          <w:rFonts w:ascii="Times New Roman" w:hAnsi="Times New Roman" w:cs="Times New Roman"/>
          <w:sz w:val="24"/>
          <w:szCs w:val="24"/>
        </w:rPr>
        <w:t>Memi</w:t>
      </w:r>
      <w:proofErr w:type="spellEnd"/>
      <w:r w:rsidRPr="00872416">
        <w:rPr>
          <w:rFonts w:ascii="Times New Roman" w:hAnsi="Times New Roman" w:cs="Times New Roman"/>
          <w:sz w:val="24"/>
          <w:szCs w:val="24"/>
        </w:rPr>
        <w:t xml:space="preserve"> and Sabu's features and clothing. The Mesopotamian diorite, while more challenging to carve, provided greater durability for a public, religious setting (Ambers et al., 2018).</w:t>
      </w:r>
    </w:p>
    <w:p w:rsidR="005E3373" w:rsidRPr="00872416" w:rsidRDefault="005E3373" w:rsidP="005E3373">
      <w:pPr>
        <w:rPr>
          <w:rFonts w:ascii="Times New Roman" w:hAnsi="Times New Roman" w:cs="Times New Roman"/>
          <w:sz w:val="24"/>
          <w:szCs w:val="24"/>
        </w:rPr>
      </w:pP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 xml:space="preserve">Scale is another point of contrast. The Statue of </w:t>
      </w:r>
      <w:proofErr w:type="spellStart"/>
      <w:r w:rsidRPr="00872416">
        <w:rPr>
          <w:rFonts w:ascii="Times New Roman" w:hAnsi="Times New Roman" w:cs="Times New Roman"/>
          <w:sz w:val="24"/>
          <w:szCs w:val="24"/>
        </w:rPr>
        <w:t>Memi</w:t>
      </w:r>
      <w:proofErr w:type="spellEnd"/>
      <w:r w:rsidRPr="00872416">
        <w:rPr>
          <w:rFonts w:ascii="Times New Roman" w:hAnsi="Times New Roman" w:cs="Times New Roman"/>
          <w:sz w:val="24"/>
          <w:szCs w:val="24"/>
        </w:rPr>
        <w:t xml:space="preserve"> and Sabu is life-sized, reinforcing its function as a substitute for the physical bodies in the afterlife. </w:t>
      </w:r>
      <w:proofErr w:type="spellStart"/>
      <w:r w:rsidRPr="00872416">
        <w:rPr>
          <w:rFonts w:ascii="Times New Roman" w:hAnsi="Times New Roman" w:cs="Times New Roman"/>
          <w:sz w:val="24"/>
          <w:szCs w:val="24"/>
        </w:rPr>
        <w:t>Gudea's</w:t>
      </w:r>
      <w:proofErr w:type="spellEnd"/>
      <w:r w:rsidRPr="00872416">
        <w:rPr>
          <w:rFonts w:ascii="Times New Roman" w:hAnsi="Times New Roman" w:cs="Times New Roman"/>
          <w:sz w:val="24"/>
          <w:szCs w:val="24"/>
        </w:rPr>
        <w:t xml:space="preserve"> statue, while still impressive, is slightly smaller than life-size, perhaps to maintain a sense of humility before the gods (Winter, 1992).</w:t>
      </w:r>
    </w:p>
    <w:p w:rsidR="005E3373" w:rsidRPr="00872416" w:rsidRDefault="005E3373" w:rsidP="005E3373">
      <w:pPr>
        <w:rPr>
          <w:rFonts w:ascii="Times New Roman" w:hAnsi="Times New Roman" w:cs="Times New Roman"/>
          <w:sz w:val="24"/>
          <w:szCs w:val="24"/>
        </w:rPr>
      </w:pPr>
    </w:p>
    <w:p w:rsidR="005E3373" w:rsidRPr="00C718D6" w:rsidRDefault="005E3373" w:rsidP="005E3373">
      <w:pPr>
        <w:rPr>
          <w:rFonts w:ascii="Times New Roman" w:hAnsi="Times New Roman" w:cs="Times New Roman"/>
          <w:b/>
          <w:sz w:val="24"/>
          <w:szCs w:val="24"/>
        </w:rPr>
      </w:pPr>
      <w:r w:rsidRPr="00C718D6">
        <w:rPr>
          <w:rFonts w:ascii="Times New Roman" w:hAnsi="Times New Roman" w:cs="Times New Roman"/>
          <w:b/>
          <w:sz w:val="24"/>
          <w:szCs w:val="24"/>
        </w:rPr>
        <w:t>Conclusion</w:t>
      </w: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 xml:space="preserve">The Statue of </w:t>
      </w:r>
      <w:proofErr w:type="spellStart"/>
      <w:r w:rsidRPr="00872416">
        <w:rPr>
          <w:rFonts w:ascii="Times New Roman" w:hAnsi="Times New Roman" w:cs="Times New Roman"/>
          <w:sz w:val="24"/>
          <w:szCs w:val="24"/>
        </w:rPr>
        <w:t>Memi</w:t>
      </w:r>
      <w:proofErr w:type="spellEnd"/>
      <w:r w:rsidRPr="00872416">
        <w:rPr>
          <w:rFonts w:ascii="Times New Roman" w:hAnsi="Times New Roman" w:cs="Times New Roman"/>
          <w:sz w:val="24"/>
          <w:szCs w:val="24"/>
        </w:rPr>
        <w:t xml:space="preserve"> and Sabu and the Seated Statue of </w:t>
      </w:r>
      <w:proofErr w:type="spellStart"/>
      <w:r w:rsidRPr="00872416">
        <w:rPr>
          <w:rFonts w:ascii="Times New Roman" w:hAnsi="Times New Roman" w:cs="Times New Roman"/>
          <w:sz w:val="24"/>
          <w:szCs w:val="24"/>
        </w:rPr>
        <w:t>Gudea</w:t>
      </w:r>
      <w:proofErr w:type="spellEnd"/>
      <w:r w:rsidRPr="00872416">
        <w:rPr>
          <w:rFonts w:ascii="Times New Roman" w:hAnsi="Times New Roman" w:cs="Times New Roman"/>
          <w:sz w:val="24"/>
          <w:szCs w:val="24"/>
        </w:rPr>
        <w:t xml:space="preserve"> exemplify how artistic choices were intrinsically linked to function in ancient sculpture. The Egyptian work, with its emphasis on eternal companionship and idealized forms, served the deeply personal purpose of ensuring continued existence in the afterlife. The Mesopotamian sculpture, through its choice of material, pose, and individualized features, fulfilled both a religious function and a political one, cementing </w:t>
      </w:r>
      <w:proofErr w:type="spellStart"/>
      <w:r w:rsidRPr="00872416">
        <w:rPr>
          <w:rFonts w:ascii="Times New Roman" w:hAnsi="Times New Roman" w:cs="Times New Roman"/>
          <w:sz w:val="24"/>
          <w:szCs w:val="24"/>
        </w:rPr>
        <w:t>Gudea's</w:t>
      </w:r>
      <w:proofErr w:type="spellEnd"/>
      <w:r w:rsidRPr="00872416">
        <w:rPr>
          <w:rFonts w:ascii="Times New Roman" w:hAnsi="Times New Roman" w:cs="Times New Roman"/>
          <w:sz w:val="24"/>
          <w:szCs w:val="24"/>
        </w:rPr>
        <w:t xml:space="preserve"> legacy as a pious ruler.</w:t>
      </w: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These sculptures not only showcase the artistic achievements of their respective civilizations but also provide valuable insights into the beliefs, values, and social structures that shaped them. By examining how purpose influenced form, we gain a deeper appreciation for the complex interplay between art, religion, and politics in the ancient world.</w:t>
      </w:r>
    </w:p>
    <w:p w:rsidR="005E3373" w:rsidRPr="007F2BE7" w:rsidRDefault="005E3373" w:rsidP="005E3373">
      <w:pPr>
        <w:rPr>
          <w:rFonts w:ascii="Times New Roman" w:hAnsi="Times New Roman" w:cs="Times New Roman"/>
          <w:b/>
          <w:sz w:val="24"/>
          <w:szCs w:val="24"/>
        </w:rPr>
      </w:pPr>
      <w:r w:rsidRPr="007F2BE7">
        <w:rPr>
          <w:rFonts w:ascii="Times New Roman" w:hAnsi="Times New Roman" w:cs="Times New Roman"/>
          <w:b/>
          <w:sz w:val="24"/>
          <w:szCs w:val="24"/>
        </w:rPr>
        <w:lastRenderedPageBreak/>
        <w:t>References</w:t>
      </w: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 xml:space="preserve">Ambers, J., Cartwright, C. R., </w:t>
      </w:r>
      <w:proofErr w:type="spellStart"/>
      <w:r w:rsidRPr="00872416">
        <w:rPr>
          <w:rFonts w:ascii="Times New Roman" w:hAnsi="Times New Roman" w:cs="Times New Roman"/>
          <w:sz w:val="24"/>
          <w:szCs w:val="24"/>
        </w:rPr>
        <w:t>Higgitt</w:t>
      </w:r>
      <w:proofErr w:type="spellEnd"/>
      <w:r w:rsidRPr="00872416">
        <w:rPr>
          <w:rFonts w:ascii="Times New Roman" w:hAnsi="Times New Roman" w:cs="Times New Roman"/>
          <w:sz w:val="24"/>
          <w:szCs w:val="24"/>
        </w:rPr>
        <w:t xml:space="preserve">, C., &amp; </w:t>
      </w:r>
      <w:proofErr w:type="spellStart"/>
      <w:r w:rsidRPr="00872416">
        <w:rPr>
          <w:rFonts w:ascii="Times New Roman" w:hAnsi="Times New Roman" w:cs="Times New Roman"/>
          <w:sz w:val="24"/>
          <w:szCs w:val="24"/>
        </w:rPr>
        <w:t>Gnudi</w:t>
      </w:r>
      <w:proofErr w:type="spellEnd"/>
      <w:r w:rsidRPr="00872416">
        <w:rPr>
          <w:rFonts w:ascii="Times New Roman" w:hAnsi="Times New Roman" w:cs="Times New Roman"/>
          <w:sz w:val="24"/>
          <w:szCs w:val="24"/>
        </w:rPr>
        <w:t>, D. (2018). Scientific approaches to the study of sculpture. Archetype Publications.</w:t>
      </w:r>
    </w:p>
    <w:p w:rsidR="005E3373" w:rsidRPr="00872416" w:rsidRDefault="005E3373" w:rsidP="005E3373">
      <w:pPr>
        <w:rPr>
          <w:rFonts w:ascii="Times New Roman" w:hAnsi="Times New Roman" w:cs="Times New Roman"/>
          <w:sz w:val="24"/>
          <w:szCs w:val="24"/>
        </w:rPr>
      </w:pPr>
      <w:proofErr w:type="spellStart"/>
      <w:r w:rsidRPr="00872416">
        <w:rPr>
          <w:rFonts w:ascii="Times New Roman" w:hAnsi="Times New Roman" w:cs="Times New Roman"/>
          <w:sz w:val="24"/>
          <w:szCs w:val="24"/>
        </w:rPr>
        <w:t>Assmann</w:t>
      </w:r>
      <w:proofErr w:type="spellEnd"/>
      <w:r w:rsidRPr="00872416">
        <w:rPr>
          <w:rFonts w:ascii="Times New Roman" w:hAnsi="Times New Roman" w:cs="Times New Roman"/>
          <w:sz w:val="24"/>
          <w:szCs w:val="24"/>
        </w:rPr>
        <w:t>, J. (2005). Death and salvation in ancient Egypt. Cornell University Press.</w:t>
      </w:r>
    </w:p>
    <w:p w:rsidR="005E3373" w:rsidRPr="00872416" w:rsidRDefault="005E3373" w:rsidP="005E3373">
      <w:pPr>
        <w:rPr>
          <w:rFonts w:ascii="Times New Roman" w:hAnsi="Times New Roman" w:cs="Times New Roman"/>
          <w:sz w:val="24"/>
          <w:szCs w:val="24"/>
        </w:rPr>
      </w:pPr>
      <w:proofErr w:type="spellStart"/>
      <w:r w:rsidRPr="00872416">
        <w:rPr>
          <w:rFonts w:ascii="Times New Roman" w:hAnsi="Times New Roman" w:cs="Times New Roman"/>
          <w:sz w:val="24"/>
          <w:szCs w:val="24"/>
        </w:rPr>
        <w:t>Bahrani</w:t>
      </w:r>
      <w:proofErr w:type="spellEnd"/>
      <w:r w:rsidRPr="00872416">
        <w:rPr>
          <w:rFonts w:ascii="Times New Roman" w:hAnsi="Times New Roman" w:cs="Times New Roman"/>
          <w:sz w:val="24"/>
          <w:szCs w:val="24"/>
        </w:rPr>
        <w:t>, Z. (2017). Art of Mesopotamia. Thames &amp; Hudson.</w:t>
      </w: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Feldman, M. H. (2014). Communities of style: Portable luxury arts, identity, and collective memory in the Iron Age Levant. University of Chicago Press.</w:t>
      </w: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Hartwig, M. K. (2015). A companion to ancient Egyptian art. Wiley Blackwell.</w:t>
      </w:r>
    </w:p>
    <w:p w:rsidR="005E3373" w:rsidRPr="00872416" w:rsidRDefault="005E3373" w:rsidP="005E3373">
      <w:pPr>
        <w:rPr>
          <w:rFonts w:ascii="Times New Roman" w:hAnsi="Times New Roman" w:cs="Times New Roman"/>
          <w:sz w:val="24"/>
          <w:szCs w:val="24"/>
        </w:rPr>
      </w:pPr>
      <w:proofErr w:type="spellStart"/>
      <w:r w:rsidRPr="00872416">
        <w:rPr>
          <w:rFonts w:ascii="Times New Roman" w:hAnsi="Times New Roman" w:cs="Times New Roman"/>
          <w:sz w:val="24"/>
          <w:szCs w:val="24"/>
        </w:rPr>
        <w:t>Marchesi</w:t>
      </w:r>
      <w:proofErr w:type="spellEnd"/>
      <w:r w:rsidRPr="00872416">
        <w:rPr>
          <w:rFonts w:ascii="Times New Roman" w:hAnsi="Times New Roman" w:cs="Times New Roman"/>
          <w:sz w:val="24"/>
          <w:szCs w:val="24"/>
        </w:rPr>
        <w:t xml:space="preserve">, G., &amp; Marchetti, N. (2011). Royal statuary of early dynastic Mesopotamia. </w:t>
      </w:r>
      <w:proofErr w:type="spellStart"/>
      <w:r w:rsidRPr="00872416">
        <w:rPr>
          <w:rFonts w:ascii="Times New Roman" w:hAnsi="Times New Roman" w:cs="Times New Roman"/>
          <w:sz w:val="24"/>
          <w:szCs w:val="24"/>
        </w:rPr>
        <w:t>Eisenbrauns</w:t>
      </w:r>
      <w:proofErr w:type="spellEnd"/>
      <w:r w:rsidRPr="00872416">
        <w:rPr>
          <w:rFonts w:ascii="Times New Roman" w:hAnsi="Times New Roman" w:cs="Times New Roman"/>
          <w:sz w:val="24"/>
          <w:szCs w:val="24"/>
        </w:rPr>
        <w:t>.</w:t>
      </w: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Robins, G. (2008). The art of ancient Egypt (Rev. ed.). Harvard University Press.</w:t>
      </w: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Taylor, J. H. (2001). Death and the afterlife in ancient Egypt. University of Chicago Press.</w:t>
      </w:r>
    </w:p>
    <w:p w:rsidR="005E3373"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Winter, I. J. (1992). "Idols of the King": Royal images as recipients of ritual action in ancient Mesopotamia. Journal of Ritual Studies, 6(1), 13-42.</w:t>
      </w:r>
    </w:p>
    <w:p w:rsidR="00702BD7" w:rsidRPr="00872416" w:rsidRDefault="005E3373" w:rsidP="005E3373">
      <w:pPr>
        <w:rPr>
          <w:rFonts w:ascii="Times New Roman" w:hAnsi="Times New Roman" w:cs="Times New Roman"/>
          <w:sz w:val="24"/>
          <w:szCs w:val="24"/>
        </w:rPr>
      </w:pPr>
      <w:r w:rsidRPr="00872416">
        <w:rPr>
          <w:rFonts w:ascii="Times New Roman" w:hAnsi="Times New Roman" w:cs="Times New Roman"/>
          <w:sz w:val="24"/>
          <w:szCs w:val="24"/>
        </w:rPr>
        <w:t>Winter, I. J. (2010). On art in the ancient Near East: Volume II, from the third millennium BCE. Brill.</w:t>
      </w:r>
    </w:p>
    <w:sectPr w:rsidR="00702BD7" w:rsidRPr="008724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Njc2MjAwMTA3NbdU0lEKTi0uzszPAykwrAUAP6jsZSwAAAA="/>
  </w:docVars>
  <w:rsids>
    <w:rsidRoot w:val="00E64FCB"/>
    <w:rsid w:val="00187928"/>
    <w:rsid w:val="002013BE"/>
    <w:rsid w:val="00275E82"/>
    <w:rsid w:val="00303097"/>
    <w:rsid w:val="003A6356"/>
    <w:rsid w:val="0040588E"/>
    <w:rsid w:val="00410A04"/>
    <w:rsid w:val="00440741"/>
    <w:rsid w:val="00457FF7"/>
    <w:rsid w:val="004909B6"/>
    <w:rsid w:val="005E3373"/>
    <w:rsid w:val="006D485D"/>
    <w:rsid w:val="00702BD7"/>
    <w:rsid w:val="007F2BE7"/>
    <w:rsid w:val="00803A62"/>
    <w:rsid w:val="00872416"/>
    <w:rsid w:val="008A5C9D"/>
    <w:rsid w:val="00C718D6"/>
    <w:rsid w:val="00D31737"/>
    <w:rsid w:val="00E64F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C0A1A"/>
  <w15:chartTrackingRefBased/>
  <w15:docId w15:val="{C357FBA5-5825-43D4-B342-79E2D7C9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uopeople.edu/course/view.php?id=79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913</Words>
  <Characters>5113</Characters>
  <Application>Microsoft Office Word</Application>
  <DocSecurity>0</DocSecurity>
  <Lines>127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21</cp:revision>
  <dcterms:created xsi:type="dcterms:W3CDTF">2024-09-08T02:48:00Z</dcterms:created>
  <dcterms:modified xsi:type="dcterms:W3CDTF">2024-09-08T03:13:00Z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33a0acd7-325e-4d66-8597-414cb5bbd120</vt:lpwstr>
  </property>
</Properties>
</file>