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A8" w:rsidRDefault="00EC127C">
      <w:pPr>
        <w:pStyle w:val="Heading1"/>
      </w:pPr>
      <w:r>
        <w:t>Why Do Gasoline and Crude Oil Prices Move Differently?</w:t>
      </w:r>
    </w:p>
    <w:p w:rsidR="003F67A8" w:rsidRDefault="00EC127C">
      <w:pPr>
        <w:pStyle w:val="Heading2"/>
      </w:pPr>
      <w:bookmarkStart w:id="0" w:name="_GoBack"/>
      <w:r>
        <w:t>Exploring Demand, Supply, and Market Dynamics</w:t>
      </w:r>
    </w:p>
    <w:p w:rsidR="003F67A8" w:rsidRDefault="00EC127C">
      <w:r>
        <w:t xml:space="preserve">When observing the trends between gasoline "prices at the pump" and crude oil "costs per barrel," it becomes apparent that their movements are often </w:t>
      </w:r>
      <w:r>
        <w:t>mismatched. Although one might expect supply and demand to synchronize these prices closely, real-world observations reveal important complexities in how markets actually operate.</w:t>
      </w:r>
    </w:p>
    <w:p w:rsidR="003F67A8" w:rsidRDefault="00EC127C">
      <w:pPr>
        <w:pStyle w:val="Heading2"/>
      </w:pPr>
      <w:r>
        <w:t>Key Observations:</w:t>
      </w:r>
    </w:p>
    <w:p w:rsidR="003F67A8" w:rsidRDefault="00EC127C">
      <w:pPr>
        <w:pStyle w:val="ListBullet"/>
      </w:pPr>
      <w:r>
        <w:t>Different Market Structures: Crude oil prices respond primarily to global conditions, including OPEC prod</w:t>
      </w:r>
      <w:r>
        <w:t>uction decisions, geopolitical risks, and macroeconomic trends (U.S. Energy Information Administration [EIA], n.d.-b). In contrast, gasoline prices are determined more locally, influenced by refinery availability, transportation costs, taxes, and regulator</w:t>
      </w:r>
      <w:r>
        <w:t>y specifications (EIA, n.d.-a).</w:t>
      </w:r>
    </w:p>
    <w:p w:rsidR="003F67A8" w:rsidRDefault="00EC127C">
      <w:pPr>
        <w:pStyle w:val="ListBullet"/>
      </w:pPr>
      <w:r>
        <w:t>Processing and Distribution Lags: Changes in crude oil prices are not immediately reflected at the gasoline pump.</w:t>
      </w:r>
    </w:p>
    <w:p w:rsidR="003F67A8" w:rsidRDefault="00EC127C">
      <w:pPr>
        <w:pStyle w:val="ListBullet"/>
      </w:pPr>
      <w:r>
        <w:t>Supply Chain Constraints: Local factors, such as refinery outages or extreme weather events, can impact gasoli</w:t>
      </w:r>
      <w:r>
        <w:t>ne prices independently of crude oil costs.</w:t>
      </w:r>
    </w:p>
    <w:p w:rsidR="003F67A8" w:rsidRDefault="00EC127C">
      <w:pPr>
        <w:pStyle w:val="ListBullet"/>
      </w:pPr>
      <w:r>
        <w:t>Asymmetric Price Response (Rockets and Feathers Effect): Gasoline prices tend to rise quickly when crude oil prices increase but fall more slowly when crude oil prices decrease.</w:t>
      </w:r>
    </w:p>
    <w:p w:rsidR="003F67A8" w:rsidRDefault="00EC127C">
      <w:pPr>
        <w:pStyle w:val="ListBullet"/>
      </w:pPr>
      <w:r>
        <w:t>Demand Differences: Gasoline deman</w:t>
      </w:r>
      <w:r>
        <w:t>d follows local patterns, such as seasonal driving habits, whereas crude oil demand reflects broader industrial and global transportation trends.</w:t>
      </w:r>
    </w:p>
    <w:p w:rsidR="003F67A8" w:rsidRDefault="00EC127C">
      <w:pPr>
        <w:pStyle w:val="ListBullet"/>
      </w:pPr>
      <w:r>
        <w:t>Speculation and Futures Trading: Futures markets amplify crude oil volatility, influencing spot prices more di</w:t>
      </w:r>
      <w:r>
        <w:t>rectly than they do for gasoline.</w:t>
      </w:r>
    </w:p>
    <w:p w:rsidR="003F67A8" w:rsidRDefault="00EC127C">
      <w:pPr>
        <w:pStyle w:val="Heading2"/>
      </w:pPr>
      <w:r>
        <w:t>Visual Comparison: Gasoline vs. Crude Oil Prices (Annual Averages)</w:t>
      </w:r>
    </w:p>
    <w:p w:rsidR="003F67A8" w:rsidRDefault="00EC127C">
      <w:r>
        <w:t>Note: An attempt was made to extract the most updated graph, but a public domain illustration is used here for representative purposes.</w:t>
      </w:r>
      <w:r>
        <w:br/>
        <w:t xml:space="preserve">Gasoline vs. Crude </w:t>
      </w:r>
      <w:r>
        <w:t>Oil Prices: Crude oil prices show sharper, more volatile peaks and valleys compared to gasoline prices. Gasoline prices, while influenced by oil prices, adjust more slowly and less dramatically due to additional market frictions.</w:t>
      </w:r>
    </w:p>
    <w:p w:rsidR="003F67A8" w:rsidRDefault="00EC127C">
      <w:pPr>
        <w:pStyle w:val="Heading2"/>
      </w:pPr>
      <w:r>
        <w:t>What This Tells Us About S</w:t>
      </w:r>
      <w:r>
        <w:t>upply and Demand:</w:t>
      </w:r>
    </w:p>
    <w:p w:rsidR="003F67A8" w:rsidRDefault="00EC127C">
      <w:r>
        <w:t>Markets operate at different layers: Raw material (crude) and finished product (gasoline) prices do not adjust synchronously.</w:t>
      </w:r>
      <w:r>
        <w:br/>
        <w:t>Frictions and bottlenecks: Intermediate stages like refining and transportation create delays and price asymmetr</w:t>
      </w:r>
      <w:r>
        <w:t>ies.</w:t>
      </w:r>
      <w:r>
        <w:br/>
        <w:t>Efficiency limits: Real-world conditions prevent instantaneous, proportionate reactions to shifts in supply and demand.</w:t>
      </w:r>
      <w:r>
        <w:br/>
      </w:r>
      <w:r>
        <w:lastRenderedPageBreak/>
        <w:t>Local vs. Global: Gasoline markets are regionally constrained, whereas crude oil pricing is globally integrated.</w:t>
      </w:r>
    </w:p>
    <w:p w:rsidR="003F67A8" w:rsidRDefault="00EC127C">
      <w:pPr>
        <w:pStyle w:val="Heading2"/>
      </w:pPr>
      <w:r>
        <w:t>References</w:t>
      </w:r>
    </w:p>
    <w:p w:rsidR="003F67A8" w:rsidRDefault="00EC127C">
      <w:r>
        <w:t>U.S. En</w:t>
      </w:r>
      <w:r>
        <w:t>ergy Information Administration. (n.d.-a). New York Harbor Conventional Gasoline Regular Spot Price FOB (Dollars per Gallon). Retrieved April 20, 2025, from http://www.eia.gov/dnav/pet/hist/LeafHandler.ashx?n=PET&amp;s=EER_EPMRU_PF4_Y35NY_DPG&amp;f=A</w:t>
      </w:r>
      <w:r>
        <w:br/>
      </w:r>
      <w:r>
        <w:br/>
        <w:t xml:space="preserve">U.S. Energy </w:t>
      </w:r>
      <w:r>
        <w:t>Information Administration. (n.d.-b). Cushing, OK WTI Spot Price FOB (Dollars per Barrel). Retrieved April 20, 2025, from http://www.eia.gov/dnav/pet/hist/LeafHandler.ashx?n=PET&amp;s=RWTC&amp;f=A</w:t>
      </w:r>
      <w:bookmarkEnd w:id="0"/>
    </w:p>
    <w:sectPr w:rsidR="003F67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A662ED4"/>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7A8"/>
    <w:rsid w:val="00AA1D8D"/>
    <w:rsid w:val="00B47730"/>
    <w:rsid w:val="00CB0664"/>
    <w:rsid w:val="00EC12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338C17"/>
  <w14:defaultImageDpi w14:val="300"/>
  <w15:docId w15:val="{0C9B0DB3-A6A2-4657-AE9C-9AD50143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9300E-99FD-4D8C-A9AF-74BB41D9F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398</Words>
  <Characters>2648</Characters>
  <Application>Microsoft Office Word</Application>
  <DocSecurity>0</DocSecurity>
  <Lines>48</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2</cp:revision>
  <dcterms:created xsi:type="dcterms:W3CDTF">2013-12-23T23:15:00Z</dcterms:created>
  <dcterms:modified xsi:type="dcterms:W3CDTF">2025-04-20T01:26:00Z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af3028e595e3246877502c4fc8c4611f3f581f0f4304834f3ec668f286eff073</vt:lpwstr>
  </property>
</Properties>
</file>