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087196" w:rsidRDefault="003E6560" w:rsidP="00705651">
      <w:pPr>
        <w:rPr>
          <w:rFonts w:ascii="Times New Roman" w:hAnsi="Times New Roman" w:cs="Times New Roman"/>
          <w:sz w:val="24"/>
          <w:szCs w:val="24"/>
          <w:lang w:val="en-AU"/>
        </w:rPr>
      </w:pPr>
      <w:r w:rsidRPr="00087196">
        <w:rPr>
          <w:rFonts w:ascii="Times New Roman" w:hAnsi="Times New Roman" w:cs="Times New Roman"/>
          <w:sz w:val="24"/>
          <w:szCs w:val="24"/>
          <w:lang w:val="en-AU"/>
        </w:rPr>
        <w:t>Learning Journal</w:t>
      </w:r>
      <w:r w:rsidR="00530327">
        <w:rPr>
          <w:rFonts w:ascii="Times New Roman" w:hAnsi="Times New Roman" w:cs="Times New Roman"/>
          <w:sz w:val="24"/>
          <w:szCs w:val="24"/>
          <w:lang w:val="en-AU"/>
        </w:rPr>
        <w:t xml:space="preserve"> 4</w:t>
      </w:r>
      <w:r w:rsidRPr="00087196">
        <w:rPr>
          <w:rFonts w:ascii="Times New Roman" w:hAnsi="Times New Roman" w:cs="Times New Roman"/>
          <w:sz w:val="24"/>
          <w:szCs w:val="24"/>
          <w:lang w:val="en-AU"/>
        </w:rPr>
        <w:t xml:space="preserve">: </w:t>
      </w:r>
    </w:p>
    <w:p w:rsidR="00530327" w:rsidRDefault="00530327" w:rsidP="00530327">
      <w:pPr>
        <w:pStyle w:val="NormalWeb"/>
        <w:rPr>
          <w:rFonts w:ascii="Segoe UI" w:hAnsi="Segoe UI" w:cs="Segoe UI"/>
          <w:color w:val="404040"/>
        </w:rPr>
      </w:pPr>
      <w:r>
        <w:rPr>
          <w:rFonts w:ascii="Segoe UI" w:hAnsi="Segoe UI" w:cs="Segoe UI"/>
          <w:color w:val="404040"/>
        </w:rPr>
        <w:t>The most transformative moment this week came during our discussion of Confucius’ </w:t>
      </w:r>
      <w:r>
        <w:rPr>
          <w:rStyle w:val="Emphasis"/>
          <w:rFonts w:ascii="Segoe UI" w:hAnsi="Segoe UI" w:cs="Segoe UI"/>
          <w:color w:val="404040"/>
        </w:rPr>
        <w:t>Analects</w:t>
      </w:r>
      <w:r>
        <w:rPr>
          <w:rFonts w:ascii="Segoe UI" w:hAnsi="Segoe UI" w:cs="Segoe UI"/>
          <w:color w:val="404040"/>
        </w:rPr>
        <w:t> and its unexpected parallels with Aristotle’s </w:t>
      </w:r>
      <w:r>
        <w:rPr>
          <w:rStyle w:val="Emphasis"/>
          <w:rFonts w:ascii="Segoe UI" w:hAnsi="Segoe UI" w:cs="Segoe UI"/>
          <w:color w:val="404040"/>
        </w:rPr>
        <w:t>Nicomachean Ethics</w:t>
      </w:r>
      <w:r>
        <w:rPr>
          <w:rFonts w:ascii="Segoe UI" w:hAnsi="Segoe UI" w:cs="Segoe UI"/>
          <w:color w:val="404040"/>
        </w:rPr>
        <w:t>. While I’d always associated Confucian filial piety with rigid duty—a concept ingrained in my upbringing—the comparison to Aristotle’s “virtue ethics” forced me to confront my own assumptions about family roles and societal contribution.</w:t>
      </w:r>
    </w:p>
    <w:p w:rsidR="00530327" w:rsidRDefault="00530327" w:rsidP="00530327">
      <w:pPr>
        <w:pStyle w:val="NormalWeb"/>
        <w:rPr>
          <w:rFonts w:ascii="Segoe UI" w:hAnsi="Segoe UI" w:cs="Segoe UI"/>
          <w:color w:val="404040"/>
        </w:rPr>
      </w:pPr>
      <w:r>
        <w:rPr>
          <w:rStyle w:val="Strong"/>
          <w:rFonts w:ascii="Segoe UI" w:hAnsi="Segoe UI" w:cs="Segoe UI"/>
          <w:color w:val="404040"/>
        </w:rPr>
        <w:t>Old Perspective</w:t>
      </w:r>
      <w:r>
        <w:rPr>
          <w:rFonts w:ascii="Segoe UI" w:hAnsi="Segoe UI" w:cs="Segoe UI"/>
          <w:color w:val="404040"/>
        </w:rPr>
        <w:t>: Growing up in a multigenerational household, I internalized the belief that family meant adhering to predefined roles: children obey parents, parents provide stability, and legacy is tied to biological continuity. As a child-free man, I often felt like an outlier, as if my choices were a rejection of cultural values. My identity was framed by what I </w:t>
      </w:r>
      <w:r>
        <w:rPr>
          <w:rStyle w:val="Emphasis"/>
          <w:rFonts w:ascii="Segoe UI" w:hAnsi="Segoe UI" w:cs="Segoe UI"/>
          <w:color w:val="404040"/>
        </w:rPr>
        <w:t>wasn’t</w:t>
      </w:r>
      <w:r>
        <w:rPr>
          <w:rFonts w:ascii="Segoe UI" w:hAnsi="Segoe UI" w:cs="Segoe UI"/>
          <w:color w:val="404040"/>
        </w:rPr>
        <w:t> doing (raising children) rather than what I </w:t>
      </w:r>
      <w:r>
        <w:rPr>
          <w:rStyle w:val="Emphasis"/>
          <w:rFonts w:ascii="Segoe UI" w:hAnsi="Segoe UI" w:cs="Segoe UI"/>
          <w:color w:val="404040"/>
        </w:rPr>
        <w:t>was</w:t>
      </w:r>
      <w:r>
        <w:rPr>
          <w:rFonts w:ascii="Segoe UI" w:hAnsi="Segoe UI" w:cs="Segoe UI"/>
          <w:color w:val="404040"/>
        </w:rPr>
        <w:t> doing (career, creative pursuits).</w:t>
      </w:r>
    </w:p>
    <w:p w:rsidR="00530327" w:rsidRDefault="00530327" w:rsidP="00530327">
      <w:pPr>
        <w:pStyle w:val="NormalWeb"/>
        <w:rPr>
          <w:rFonts w:ascii="Segoe UI" w:hAnsi="Segoe UI" w:cs="Segoe UI"/>
          <w:color w:val="404040"/>
        </w:rPr>
      </w:pPr>
      <w:r>
        <w:rPr>
          <w:rStyle w:val="Strong"/>
          <w:rFonts w:ascii="Segoe UI" w:hAnsi="Segoe UI" w:cs="Segoe UI"/>
          <w:color w:val="404040"/>
        </w:rPr>
        <w:t>The Catalyst</w:t>
      </w:r>
      <w:r>
        <w:rPr>
          <w:rFonts w:ascii="Segoe UI" w:hAnsi="Segoe UI" w:cs="Segoe UI"/>
          <w:color w:val="404040"/>
        </w:rPr>
        <w:t>: Reading Confucius’ emphasis on </w:t>
      </w:r>
      <w:proofErr w:type="spellStart"/>
      <w:r>
        <w:rPr>
          <w:rStyle w:val="Emphasis"/>
          <w:rFonts w:ascii="Segoe UI" w:hAnsi="Segoe UI" w:cs="Segoe UI"/>
          <w:color w:val="404040"/>
        </w:rPr>
        <w:t>xiao</w:t>
      </w:r>
      <w:proofErr w:type="spellEnd"/>
      <w:r>
        <w:rPr>
          <w:rFonts w:ascii="Segoe UI" w:hAnsi="Segoe UI" w:cs="Segoe UI"/>
          <w:color w:val="404040"/>
        </w:rPr>
        <w:t> (filial piety)</w:t>
      </w:r>
      <w:proofErr w:type="gramStart"/>
      <w:r>
        <w:rPr>
          <w:rFonts w:ascii="Segoe UI" w:hAnsi="Segoe UI" w:cs="Segoe UI"/>
          <w:color w:val="404040"/>
        </w:rPr>
        <w:t>—“</w:t>
      </w:r>
      <w:proofErr w:type="gramEnd"/>
      <w:r>
        <w:rPr>
          <w:rFonts w:ascii="Segoe UI" w:hAnsi="Segoe UI" w:cs="Segoe UI"/>
          <w:color w:val="404040"/>
        </w:rPr>
        <w:t>The root of humanity is filial piety” (Confucius, 1998, 1.2)—alongside Aristotle’s argument that “friendship [</w:t>
      </w:r>
      <w:r>
        <w:rPr>
          <w:rStyle w:val="Emphasis"/>
          <w:rFonts w:ascii="Segoe UI" w:hAnsi="Segoe UI" w:cs="Segoe UI"/>
          <w:color w:val="404040"/>
        </w:rPr>
        <w:t>philia</w:t>
      </w:r>
      <w:r>
        <w:rPr>
          <w:rFonts w:ascii="Segoe UI" w:hAnsi="Segoe UI" w:cs="Segoe UI"/>
          <w:color w:val="404040"/>
        </w:rPr>
        <w:t>] is the bond of the polis” (Aristotle, 2000, VIII.1) sparked a revelation. Our class debate highlighted how </w:t>
      </w:r>
      <w:proofErr w:type="spellStart"/>
      <w:r>
        <w:rPr>
          <w:rStyle w:val="Emphasis"/>
          <w:rFonts w:ascii="Segoe UI" w:hAnsi="Segoe UI" w:cs="Segoe UI"/>
          <w:color w:val="404040"/>
        </w:rPr>
        <w:t>xiao</w:t>
      </w:r>
      <w:proofErr w:type="spellEnd"/>
      <w:r>
        <w:rPr>
          <w:rFonts w:ascii="Segoe UI" w:hAnsi="Segoe UI" w:cs="Segoe UI"/>
          <w:color w:val="404040"/>
        </w:rPr>
        <w:t> extends beyond obedience to include moral reciprocity and nurturing communal harmony. Similarly, Aristotle’s </w:t>
      </w:r>
      <w:r>
        <w:rPr>
          <w:rStyle w:val="Emphasis"/>
          <w:rFonts w:ascii="Segoe UI" w:hAnsi="Segoe UI" w:cs="Segoe UI"/>
          <w:color w:val="404040"/>
        </w:rPr>
        <w:t>philia</w:t>
      </w:r>
      <w:r>
        <w:rPr>
          <w:rFonts w:ascii="Segoe UI" w:hAnsi="Segoe UI" w:cs="Segoe UI"/>
          <w:color w:val="404040"/>
        </w:rPr>
        <w:t> isn’t limited to blood ties but encompasses civic friendship, where individuals contribute to collective flourishing. This reframing made me question: </w:t>
      </w:r>
      <w:r>
        <w:rPr>
          <w:rStyle w:val="Emphasis"/>
          <w:rFonts w:ascii="Segoe UI" w:hAnsi="Segoe UI" w:cs="Segoe UI"/>
          <w:color w:val="404040"/>
        </w:rPr>
        <w:t>Could my role in the “family” transcend biology?</w:t>
      </w:r>
    </w:p>
    <w:p w:rsidR="00530327" w:rsidRDefault="00530327" w:rsidP="00530327">
      <w:pPr>
        <w:pStyle w:val="NormalWeb"/>
        <w:rPr>
          <w:rFonts w:ascii="Segoe UI" w:hAnsi="Segoe UI" w:cs="Segoe UI"/>
          <w:color w:val="404040"/>
        </w:rPr>
      </w:pPr>
      <w:r>
        <w:rPr>
          <w:rStyle w:val="Strong"/>
          <w:rFonts w:ascii="Segoe UI" w:hAnsi="Segoe UI" w:cs="Segoe UI"/>
          <w:color w:val="404040"/>
        </w:rPr>
        <w:t>New Understanding</w:t>
      </w:r>
      <w:r>
        <w:rPr>
          <w:rFonts w:ascii="Segoe UI" w:hAnsi="Segoe UI" w:cs="Segoe UI"/>
          <w:color w:val="404040"/>
        </w:rPr>
        <w:t>: I now see family as a dynamic network of care rather than a static hierarchy. For example, mentoring first-generation college students—many of whom lack parental academic guidance—has become my act of </w:t>
      </w:r>
      <w:proofErr w:type="spellStart"/>
      <w:r>
        <w:rPr>
          <w:rStyle w:val="Emphasis"/>
          <w:rFonts w:ascii="Segoe UI" w:hAnsi="Segoe UI" w:cs="Segoe UI"/>
          <w:color w:val="404040"/>
        </w:rPr>
        <w:t>xiao</w:t>
      </w:r>
      <w:proofErr w:type="spellEnd"/>
      <w:r>
        <w:rPr>
          <w:rFonts w:ascii="Segoe UI" w:hAnsi="Segoe UI" w:cs="Segoe UI"/>
          <w:color w:val="404040"/>
        </w:rPr>
        <w:t xml:space="preserve">, a way to </w:t>
      </w:r>
      <w:proofErr w:type="spellStart"/>
      <w:r>
        <w:rPr>
          <w:rFonts w:ascii="Segoe UI" w:hAnsi="Segoe UI" w:cs="Segoe UI"/>
          <w:color w:val="404040"/>
        </w:rPr>
        <w:t>honor</w:t>
      </w:r>
      <w:proofErr w:type="spellEnd"/>
      <w:r>
        <w:rPr>
          <w:rFonts w:ascii="Segoe UI" w:hAnsi="Segoe UI" w:cs="Segoe UI"/>
          <w:color w:val="404040"/>
        </w:rPr>
        <w:t xml:space="preserve"> my parents’ sacrifices by paying forward their emphasis on education. Aristotle’s </w:t>
      </w:r>
      <w:r>
        <w:rPr>
          <w:rStyle w:val="Emphasis"/>
          <w:rFonts w:ascii="Segoe UI" w:hAnsi="Segoe UI" w:cs="Segoe UI"/>
          <w:color w:val="404040"/>
        </w:rPr>
        <w:t>philia</w:t>
      </w:r>
      <w:r>
        <w:rPr>
          <w:rFonts w:ascii="Segoe UI" w:hAnsi="Segoe UI" w:cs="Segoe UI"/>
          <w:color w:val="404040"/>
        </w:rPr>
        <w:t> resonates here; these relationships are mutual, fostering growth for both mentor and mentee (Tu, 1998, p. 47).</w:t>
      </w:r>
    </w:p>
    <w:p w:rsidR="00530327" w:rsidRDefault="00530327" w:rsidP="00530327">
      <w:pPr>
        <w:pStyle w:val="NormalWeb"/>
        <w:rPr>
          <w:rFonts w:ascii="Segoe UI" w:hAnsi="Segoe UI" w:cs="Segoe UI"/>
          <w:color w:val="404040"/>
        </w:rPr>
      </w:pPr>
      <w:r>
        <w:rPr>
          <w:rFonts w:ascii="Segoe UI" w:hAnsi="Segoe UI" w:cs="Segoe UI"/>
          <w:color w:val="404040"/>
        </w:rPr>
        <w:t>The lesson also challenged my view of legacy. Confucian and Aristotelian philosophies traditionally link legacy to progeny or political contribution. Yet, as someone navigating a child-free life in a culture that equates parenthood with purpose, I’ve begun redefining legacy as the ethical imprint I leave through actions. Volunteering at a community garden, for instance, mirrors Aquinas’ “natural law” principle of stewardship (Aquinas, 1947, I-II, Q. 94) but adapts it to modern ecological concerns—a secular “common good” that transcends traditional familial expectations.</w:t>
      </w:r>
    </w:p>
    <w:p w:rsidR="00530327" w:rsidRDefault="00530327" w:rsidP="00530327">
      <w:pPr>
        <w:pStyle w:val="NormalWeb"/>
        <w:rPr>
          <w:rFonts w:ascii="Segoe UI" w:hAnsi="Segoe UI" w:cs="Segoe UI"/>
          <w:color w:val="404040"/>
        </w:rPr>
      </w:pPr>
      <w:bookmarkStart w:id="0" w:name="_GoBack"/>
      <w:bookmarkEnd w:id="0"/>
      <w:r>
        <w:rPr>
          <w:rFonts w:ascii="Segoe UI" w:hAnsi="Segoe UI" w:cs="Segoe UI"/>
          <w:color w:val="404040"/>
        </w:rPr>
        <w:t xml:space="preserve">This week’s dialogue didn’t provide answers but gave me tools to reframe the questions. I’ve moved from seeing my child-free status as a deficiency to viewing it as a different mode of contribution—one that aligns with both Confucian reciprocity </w:t>
      </w:r>
      <w:r>
        <w:rPr>
          <w:rFonts w:ascii="Segoe UI" w:hAnsi="Segoe UI" w:cs="Segoe UI"/>
          <w:color w:val="404040"/>
        </w:rPr>
        <w:lastRenderedPageBreak/>
        <w:t>(Confucius, 1998, 12.1) and Aristotelian civic virtue (Aristotle, 2000, X.7). The “family” is no longer a cage of obligations but a canvas for reimagining belonging.</w:t>
      </w:r>
    </w:p>
    <w:p w:rsidR="00530327" w:rsidRDefault="00530327" w:rsidP="00530327">
      <w:pPr>
        <w:pStyle w:val="NormalWeb"/>
        <w:rPr>
          <w:rFonts w:ascii="Segoe UI" w:hAnsi="Segoe UI" w:cs="Segoe UI"/>
          <w:color w:val="404040"/>
        </w:rPr>
      </w:pPr>
      <w:r>
        <w:rPr>
          <w:rStyle w:val="Strong"/>
          <w:rFonts w:ascii="Segoe UI" w:hAnsi="Segoe UI" w:cs="Segoe UI"/>
          <w:color w:val="404040"/>
        </w:rPr>
        <w:t>References</w:t>
      </w:r>
      <w:r>
        <w:rPr>
          <w:rFonts w:ascii="Segoe UI" w:hAnsi="Segoe UI" w:cs="Segoe UI"/>
          <w:color w:val="404040"/>
        </w:rPr>
        <w:br/>
        <w:t>Aquinas, T. (1947). </w:t>
      </w:r>
      <w:r>
        <w:rPr>
          <w:rStyle w:val="Emphasis"/>
          <w:rFonts w:ascii="Segoe UI" w:hAnsi="Segoe UI" w:cs="Segoe UI"/>
          <w:color w:val="404040"/>
        </w:rPr>
        <w:t xml:space="preserve">Summa </w:t>
      </w:r>
      <w:proofErr w:type="spellStart"/>
      <w:r>
        <w:rPr>
          <w:rStyle w:val="Emphasis"/>
          <w:rFonts w:ascii="Segoe UI" w:hAnsi="Segoe UI" w:cs="Segoe UI"/>
          <w:color w:val="404040"/>
        </w:rPr>
        <w:t>theologica</w:t>
      </w:r>
      <w:proofErr w:type="spellEnd"/>
      <w:r>
        <w:rPr>
          <w:rFonts w:ascii="Segoe UI" w:hAnsi="Segoe UI" w:cs="Segoe UI"/>
          <w:color w:val="404040"/>
        </w:rPr>
        <w:t xml:space="preserve"> (Fathers of the English Dominican Province, Trans.). </w:t>
      </w:r>
      <w:proofErr w:type="spellStart"/>
      <w:r>
        <w:rPr>
          <w:rFonts w:ascii="Segoe UI" w:hAnsi="Segoe UI" w:cs="Segoe UI"/>
          <w:color w:val="404040"/>
        </w:rPr>
        <w:t>Benziger</w:t>
      </w:r>
      <w:proofErr w:type="spellEnd"/>
      <w:r>
        <w:rPr>
          <w:rFonts w:ascii="Segoe UI" w:hAnsi="Segoe UI" w:cs="Segoe UI"/>
          <w:color w:val="404040"/>
        </w:rPr>
        <w:t xml:space="preserve"> Bros. (Original work published 1265–1274)</w:t>
      </w:r>
      <w:r>
        <w:rPr>
          <w:rFonts w:ascii="Segoe UI" w:hAnsi="Segoe UI" w:cs="Segoe UI"/>
          <w:color w:val="404040"/>
        </w:rPr>
        <w:br/>
        <w:t>Arendt, H. (1958). </w:t>
      </w:r>
      <w:r>
        <w:rPr>
          <w:rStyle w:val="Emphasis"/>
          <w:rFonts w:ascii="Segoe UI" w:hAnsi="Segoe UI" w:cs="Segoe UI"/>
          <w:color w:val="404040"/>
        </w:rPr>
        <w:t>The human condition</w:t>
      </w:r>
      <w:r>
        <w:rPr>
          <w:rFonts w:ascii="Segoe UI" w:hAnsi="Segoe UI" w:cs="Segoe UI"/>
          <w:color w:val="404040"/>
        </w:rPr>
        <w:t>. University of Chicago Press.</w:t>
      </w:r>
      <w:r>
        <w:rPr>
          <w:rFonts w:ascii="Segoe UI" w:hAnsi="Segoe UI" w:cs="Segoe UI"/>
          <w:color w:val="404040"/>
        </w:rPr>
        <w:br/>
        <w:t>Aristotle. (2000). </w:t>
      </w:r>
      <w:r>
        <w:rPr>
          <w:rStyle w:val="Emphasis"/>
          <w:rFonts w:ascii="Segoe UI" w:hAnsi="Segoe UI" w:cs="Segoe UI"/>
          <w:color w:val="404040"/>
        </w:rPr>
        <w:t>Nicomachean ethics</w:t>
      </w:r>
      <w:r>
        <w:rPr>
          <w:rFonts w:ascii="Segoe UI" w:hAnsi="Segoe UI" w:cs="Segoe UI"/>
          <w:color w:val="404040"/>
        </w:rPr>
        <w:t> (W. D. Ross, Trans.). Oxford University Press. (Original work published ca. 350 BCE)</w:t>
      </w:r>
      <w:r>
        <w:rPr>
          <w:rFonts w:ascii="Segoe UI" w:hAnsi="Segoe UI" w:cs="Segoe UI"/>
          <w:color w:val="404040"/>
        </w:rPr>
        <w:br/>
        <w:t>Confucius. (1998). </w:t>
      </w:r>
      <w:r>
        <w:rPr>
          <w:rStyle w:val="Emphasis"/>
          <w:rFonts w:ascii="Segoe UI" w:hAnsi="Segoe UI" w:cs="Segoe UI"/>
          <w:color w:val="404040"/>
        </w:rPr>
        <w:t>The analects</w:t>
      </w:r>
      <w:r>
        <w:rPr>
          <w:rFonts w:ascii="Segoe UI" w:hAnsi="Segoe UI" w:cs="Segoe UI"/>
          <w:color w:val="404040"/>
        </w:rPr>
        <w:t> (D. C. Lau, Trans.). Penguin Classics. (Original work published ca. 475–221 BCE)</w:t>
      </w:r>
      <w:r>
        <w:rPr>
          <w:rFonts w:ascii="Segoe UI" w:hAnsi="Segoe UI" w:cs="Segoe UI"/>
          <w:color w:val="404040"/>
        </w:rPr>
        <w:br/>
        <w:t>Tu, W. (1998). </w:t>
      </w:r>
      <w:r>
        <w:rPr>
          <w:rStyle w:val="Emphasis"/>
          <w:rFonts w:ascii="Segoe UI" w:hAnsi="Segoe UI" w:cs="Segoe UI"/>
          <w:color w:val="404040"/>
        </w:rPr>
        <w:t>Humanity and self-cultivation: Essays in Confucian thought</w:t>
      </w:r>
      <w:r>
        <w:rPr>
          <w:rFonts w:ascii="Segoe UI" w:hAnsi="Segoe UI" w:cs="Segoe UI"/>
          <w:color w:val="404040"/>
        </w:rPr>
        <w:t xml:space="preserve">. Cheng &amp; </w:t>
      </w:r>
      <w:proofErr w:type="spellStart"/>
      <w:r>
        <w:rPr>
          <w:rFonts w:ascii="Segoe UI" w:hAnsi="Segoe UI" w:cs="Segoe UI"/>
          <w:color w:val="404040"/>
        </w:rPr>
        <w:t>Tsui</w:t>
      </w:r>
      <w:proofErr w:type="spellEnd"/>
      <w:r>
        <w:rPr>
          <w:rFonts w:ascii="Segoe UI" w:hAnsi="Segoe UI" w:cs="Segoe UI"/>
          <w:color w:val="404040"/>
        </w:rPr>
        <w:t xml:space="preserve"> Company.</w:t>
      </w:r>
    </w:p>
    <w:p w:rsidR="000B487B" w:rsidRPr="00D40D3B" w:rsidRDefault="000B487B" w:rsidP="006F767B">
      <w:pPr>
        <w:rPr>
          <w:rFonts w:ascii="Times New Roman" w:hAnsi="Times New Roman" w:cs="Times New Roman"/>
          <w:sz w:val="24"/>
          <w:szCs w:val="24"/>
        </w:rPr>
      </w:pPr>
    </w:p>
    <w:sectPr w:rsidR="000B487B" w:rsidRPr="00D40D3B" w:rsidSect="00ED5D3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A47" w:rsidRDefault="00957A47" w:rsidP="00C51A14">
      <w:pPr>
        <w:spacing w:after="0" w:line="240" w:lineRule="auto"/>
      </w:pPr>
      <w:r>
        <w:separator/>
      </w:r>
    </w:p>
  </w:endnote>
  <w:endnote w:type="continuationSeparator" w:id="0">
    <w:p w:rsidR="00957A47" w:rsidRDefault="00957A47"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A47" w:rsidRDefault="00957A47" w:rsidP="00C51A14">
      <w:pPr>
        <w:spacing w:after="0" w:line="240" w:lineRule="auto"/>
      </w:pPr>
      <w:r>
        <w:separator/>
      </w:r>
    </w:p>
  </w:footnote>
  <w:footnote w:type="continuationSeparator" w:id="0">
    <w:p w:rsidR="00957A47" w:rsidRDefault="00957A47"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567"/>
    <w:multiLevelType w:val="multilevel"/>
    <w:tmpl w:val="0DA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E6808"/>
    <w:multiLevelType w:val="multilevel"/>
    <w:tmpl w:val="B49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87196"/>
    <w:rsid w:val="000B487B"/>
    <w:rsid w:val="000E6F9D"/>
    <w:rsid w:val="00234AB5"/>
    <w:rsid w:val="002368E9"/>
    <w:rsid w:val="00346642"/>
    <w:rsid w:val="003E6560"/>
    <w:rsid w:val="00427D2B"/>
    <w:rsid w:val="004723F7"/>
    <w:rsid w:val="00527437"/>
    <w:rsid w:val="00530327"/>
    <w:rsid w:val="00532C63"/>
    <w:rsid w:val="00550453"/>
    <w:rsid w:val="005F67F8"/>
    <w:rsid w:val="006748CC"/>
    <w:rsid w:val="006A445E"/>
    <w:rsid w:val="006F3BE7"/>
    <w:rsid w:val="006F767B"/>
    <w:rsid w:val="00702BD7"/>
    <w:rsid w:val="00705651"/>
    <w:rsid w:val="00770C9C"/>
    <w:rsid w:val="00772B62"/>
    <w:rsid w:val="008B730A"/>
    <w:rsid w:val="00905F7A"/>
    <w:rsid w:val="00921A5A"/>
    <w:rsid w:val="00957A47"/>
    <w:rsid w:val="009F5CC7"/>
    <w:rsid w:val="00A92B51"/>
    <w:rsid w:val="00B7668B"/>
    <w:rsid w:val="00C34BAE"/>
    <w:rsid w:val="00C43E35"/>
    <w:rsid w:val="00C51A14"/>
    <w:rsid w:val="00C57C90"/>
    <w:rsid w:val="00D40D3B"/>
    <w:rsid w:val="00DF122E"/>
    <w:rsid w:val="00E4333E"/>
    <w:rsid w:val="00E76607"/>
    <w:rsid w:val="00EA3211"/>
    <w:rsid w:val="00ED5D36"/>
    <w:rsid w:val="00EE25D3"/>
    <w:rsid w:val="00F118D3"/>
    <w:rsid w:val="00F6769D"/>
    <w:rsid w:val="00FD5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5A06"/>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7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 w:type="character" w:customStyle="1" w:styleId="Heading1Char">
    <w:name w:val="Heading 1 Char"/>
    <w:basedOn w:val="DefaultParagraphFont"/>
    <w:link w:val="Heading1"/>
    <w:uiPriority w:val="9"/>
    <w:rsid w:val="006F7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767B"/>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D40D3B"/>
    <w:rPr>
      <w:i/>
      <w:iCs/>
    </w:rPr>
  </w:style>
  <w:style w:type="character" w:styleId="Strong">
    <w:name w:val="Strong"/>
    <w:basedOn w:val="DefaultParagraphFont"/>
    <w:uiPriority w:val="22"/>
    <w:qFormat/>
    <w:rsid w:val="00D40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150906143">
      <w:bodyDiv w:val="1"/>
      <w:marLeft w:val="0"/>
      <w:marRight w:val="0"/>
      <w:marTop w:val="0"/>
      <w:marBottom w:val="0"/>
      <w:divBdr>
        <w:top w:val="none" w:sz="0" w:space="0" w:color="auto"/>
        <w:left w:val="none" w:sz="0" w:space="0" w:color="auto"/>
        <w:bottom w:val="none" w:sz="0" w:space="0" w:color="auto"/>
        <w:right w:val="none" w:sz="0" w:space="0" w:color="auto"/>
      </w:divBdr>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 w:id="1305507690">
      <w:bodyDiv w:val="1"/>
      <w:marLeft w:val="0"/>
      <w:marRight w:val="0"/>
      <w:marTop w:val="0"/>
      <w:marBottom w:val="0"/>
      <w:divBdr>
        <w:top w:val="none" w:sz="0" w:space="0" w:color="auto"/>
        <w:left w:val="none" w:sz="0" w:space="0" w:color="auto"/>
        <w:bottom w:val="none" w:sz="0" w:space="0" w:color="auto"/>
        <w:right w:val="none" w:sz="0" w:space="0" w:color="auto"/>
      </w:divBdr>
    </w:div>
    <w:div w:id="17826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2</Pages>
  <Words>511</Words>
  <Characters>2960</Characters>
  <Application>Microsoft Office Word</Application>
  <DocSecurity>0</DocSecurity>
  <Lines>46</Lines>
  <Paragraphs>10</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40</cp:revision>
  <dcterms:created xsi:type="dcterms:W3CDTF">2024-04-14T05:21:00Z</dcterms:created>
  <dcterms:modified xsi:type="dcterms:W3CDTF">2025-02-23T16:03:00Z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