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596" w:rsidRDefault="007E3F7F">
      <w:bookmarkStart w:id="0" w:name="_GoBack"/>
      <w:bookmarkEnd w:id="0"/>
      <w:r>
        <w:rPr>
          <w:b/>
        </w:rPr>
        <w:t>1. Personal Experience and Its Impact on QoL and HRQoL</w:t>
      </w:r>
    </w:p>
    <w:p w:rsidR="00EA6596" w:rsidRDefault="007E3F7F">
      <w:r>
        <w:t xml:space="preserve">In early 2020, I contracted COVID-19 during the initial wave of infections in </w:t>
      </w:r>
      <w:r>
        <w:t>Singapore. Though my symptoms were considered mild by clinical standards—low-grade fever, fatigue, and loss of taste—the impact on my quality of life (QoL) and health-related quality of life (HRQoL) was profound and enduring. Physically, the fatigue linger</w:t>
      </w:r>
      <w:r>
        <w:t>ed for weeks, preventing me from engaging in routine exercise or performing daily tasks with ease. Mentally and emotionally, the uncertainty surrounding the virus, coupled with isolation from family and friends, led to heightened levels of anxiety and feel</w:t>
      </w:r>
      <w:r>
        <w:t>ings of loneliness. My academic performance also declined due to reduced concentration and persistent fatigue, highlighting the intersection of health with cognitive and occupational functioning.</w:t>
      </w:r>
      <w:r>
        <w:br/>
      </w:r>
      <w:r>
        <w:br/>
        <w:t>HRQoL, as defined by the World Health Organization, encompa</w:t>
      </w:r>
      <w:r>
        <w:t xml:space="preserve">sses domains influenced by a person’s health, such as physical functioning, mental well-being, and social relationships (WHOQOL Group, 1998). My experience underscored this definition. Though I eventually recovered physically, the psychological and social </w:t>
      </w:r>
      <w:r>
        <w:t>effects were slower to resolve. I became acutely aware of how a single illness could destabilize multiple domains of life, emphasizing the need for integrated healthcare approaches that consider mental, emotional, and social well-being in addition to physi</w:t>
      </w:r>
      <w:r>
        <w:t>cal health.</w:t>
      </w:r>
    </w:p>
    <w:p w:rsidR="00EA6596" w:rsidRDefault="007E3F7F">
      <w:r>
        <w:rPr>
          <w:b/>
        </w:rPr>
        <w:t>2. Two Future Healthcare Challenges</w:t>
      </w:r>
    </w:p>
    <w:p w:rsidR="00EA6596" w:rsidRDefault="007E3F7F">
      <w:r>
        <w:t>As a health science student, I foresee two major challenges emerging in the future healthcare landscape: the rising burden of chronic diseases in an aging population, and the increasing mental health crisis e</w:t>
      </w:r>
      <w:r>
        <w:t>xacerbated by digital overstimulation and social disconnection.</w:t>
      </w:r>
      <w:r>
        <w:br/>
      </w:r>
      <w:r>
        <w:br/>
        <w:t>First, the demographic shift towards an older population is expected to result in a surge of age-related chronic illnesses such as diabetes, cardiovascular disease, and neurodegenerative diso</w:t>
      </w:r>
      <w:r>
        <w:t xml:space="preserve">rders. This will place significant strain on healthcare infrastructure and will likely reduce the QoL for older adults who must navigate long-term care, polypharmacy, and physical limitations (Beard et al., 2016). Managing chronic illness not only affects </w:t>
      </w:r>
      <w:r>
        <w:t>physical health but also social participation and emotional well-being—critical components of HRQoL.</w:t>
      </w:r>
      <w:r>
        <w:br/>
      </w:r>
      <w:r>
        <w:br/>
        <w:t>Second, the global mental health burden is intensifying, particularly among youth and working adults. Factors such as social media exposure, economic inse</w:t>
      </w:r>
      <w:r>
        <w:t>curity, and the erosion of community structures are contributing to increased levels of anxiety, depression, and burnout (Twenge et al., 2019). Mental health challenges often go untreated, yet they influence HRQoL as profoundly as physical illnesses by dim</w:t>
      </w:r>
      <w:r>
        <w:t>inishing one’s ability to function socially, professionally, and personally.</w:t>
      </w:r>
    </w:p>
    <w:p w:rsidR="00EA6596" w:rsidRDefault="007E3F7F">
      <w:r>
        <w:rPr>
          <w:b/>
        </w:rPr>
        <w:lastRenderedPageBreak/>
        <w:t>3. Strategies to Address These Challenges</w:t>
      </w:r>
    </w:p>
    <w:p w:rsidR="00EA6596" w:rsidRDefault="007E3F7F">
      <w:r>
        <w:t>To address the chronic illness burden in aging populations, healthcare systems must prioritize preventative care and community-based heal</w:t>
      </w:r>
      <w:r>
        <w:t>th models. Regular health screenings, health literacy education, and digital health monitoring tools can detect risk factors early and promote lifestyle modifications. Additionally, integrated care models that include physiotherapists, mental health profes</w:t>
      </w:r>
      <w:r>
        <w:t>sionals, and nutritionists can ensure holistic care that preserves HRQoL even in the face of chronic illness (Wagner et al., 2001).</w:t>
      </w:r>
      <w:r>
        <w:br/>
      </w:r>
      <w:r>
        <w:br/>
        <w:t>Concerning mental health, governments and institutions must invest in early intervention programs and normalize psychologic</w:t>
      </w:r>
      <w:r>
        <w:t>al support through public campaigns. Schools and workplaces should implement structured wellness initiatives, including access to counselors, digital detox programs, and peer-support systems. Furthermore, leveraging digital platforms to provide remote ther</w:t>
      </w:r>
      <w:r>
        <w:t>apy and support groups can reduce barriers to care and increase accessibility, especially in underserved communities.</w:t>
      </w:r>
      <w:r>
        <w:br/>
      </w:r>
      <w:r>
        <w:br/>
        <w:t>In conclusion, personal health experiences such as contracting COVID-19 can deeply affect both QoL and HRQoL, reinforcing the interconnec</w:t>
      </w:r>
      <w:r>
        <w:t>tedness of physical, mental, and social health. Anticipating future healthcare challenges—such as aging populations with chronic illnesses and escalating mental health issues—requires proactive, integrative strategies. By addressing these through preventio</w:t>
      </w:r>
      <w:r>
        <w:t>n, education, and digital health innovations, we can mitigate their impacts and enhance the quality of life for future generations.</w:t>
      </w:r>
    </w:p>
    <w:p w:rsidR="00EA6596" w:rsidRDefault="007E3F7F">
      <w:r>
        <w:rPr>
          <w:b/>
        </w:rPr>
        <w:t>References</w:t>
      </w:r>
    </w:p>
    <w:p w:rsidR="00EA6596" w:rsidRDefault="007E3F7F">
      <w:r>
        <w:t>Beard, J. R., Officer, A., de Carvalho, I. A., Sadana, R., Pot, A. M., Michel, J. P., ... &amp; Chatterji, S. (2016).</w:t>
      </w:r>
      <w:r>
        <w:t xml:space="preserve"> The World report on ageing and health: a policy framework for healthy ageing. </w:t>
      </w:r>
      <w:r w:rsidR="00D2671A">
        <w:t>“</w:t>
      </w:r>
      <w:r>
        <w:t>The Lancet</w:t>
      </w:r>
      <w:r w:rsidR="00D2671A">
        <w:t>”</w:t>
      </w:r>
      <w:r>
        <w:t xml:space="preserve">, </w:t>
      </w:r>
      <w:r w:rsidR="00D2671A">
        <w:t>“</w:t>
      </w:r>
      <w:proofErr w:type="gramStart"/>
      <w:r>
        <w:t>387</w:t>
      </w:r>
      <w:r w:rsidR="00D2671A">
        <w:t>”</w:t>
      </w:r>
      <w:r>
        <w:t>(</w:t>
      </w:r>
      <w:proofErr w:type="gramEnd"/>
      <w:r>
        <w:t>10033), 2145-2154. https://doi.org/10.1016/S0140-6736(15)00516-4</w:t>
      </w:r>
    </w:p>
    <w:p w:rsidR="00EA6596" w:rsidRDefault="007E3F7F">
      <w:r>
        <w:t>Twenge, J. M., Cooper, A. B., Joiner, T. E., Duffy, M. E., &amp; Binau, S. G. (2019). Age, perio</w:t>
      </w:r>
      <w:r>
        <w:t xml:space="preserve">d, and cohort trends in mood disorder indicators and suicide-related outcomes in a nationally representative dataset, 2005–2017. </w:t>
      </w:r>
      <w:r w:rsidR="00D2671A">
        <w:t>“</w:t>
      </w:r>
      <w:r>
        <w:t>Journal of Abnormal Psychology</w:t>
      </w:r>
      <w:r w:rsidR="00D2671A">
        <w:t>”</w:t>
      </w:r>
      <w:r>
        <w:t xml:space="preserve">, </w:t>
      </w:r>
      <w:r w:rsidR="00D2671A">
        <w:t>“</w:t>
      </w:r>
      <w:proofErr w:type="gramStart"/>
      <w:r>
        <w:t>128</w:t>
      </w:r>
      <w:r w:rsidR="00D2671A">
        <w:t>”</w:t>
      </w:r>
      <w:r>
        <w:t>(</w:t>
      </w:r>
      <w:proofErr w:type="gramEnd"/>
      <w:r>
        <w:t>3), 185–199. https://doi.org/10.1037/abn0000410</w:t>
      </w:r>
    </w:p>
    <w:p w:rsidR="00EA6596" w:rsidRDefault="007E3F7F">
      <w:r>
        <w:t>WHOQOL Group. (1998). Development of th</w:t>
      </w:r>
      <w:r>
        <w:t xml:space="preserve">e World Health Organization WHOQOL-BREF quality of life assessment. </w:t>
      </w:r>
      <w:r w:rsidR="00D2671A">
        <w:t>“</w:t>
      </w:r>
      <w:r>
        <w:t>Psychological Medicine</w:t>
      </w:r>
      <w:r w:rsidR="00D2671A">
        <w:t>”</w:t>
      </w:r>
      <w:r>
        <w:t xml:space="preserve">, </w:t>
      </w:r>
      <w:r w:rsidR="00D2671A">
        <w:t>“</w:t>
      </w:r>
      <w:proofErr w:type="gramStart"/>
      <w:r>
        <w:t>28</w:t>
      </w:r>
      <w:r w:rsidR="00D2671A">
        <w:t>”</w:t>
      </w:r>
      <w:r>
        <w:t>(</w:t>
      </w:r>
      <w:proofErr w:type="gramEnd"/>
      <w:r>
        <w:t>3), 551–558. https://doi.org/10.1017/S0033291798006667</w:t>
      </w:r>
    </w:p>
    <w:p w:rsidR="00EA6596" w:rsidRDefault="007E3F7F">
      <w:r>
        <w:lastRenderedPageBreak/>
        <w:t>Wagner, E. H., Austin, B. T., &amp; Von Korff, M. (1996). Organizing care for patients with chronic illnes</w:t>
      </w:r>
      <w:r>
        <w:t xml:space="preserve">s. </w:t>
      </w:r>
      <w:r w:rsidR="00D2671A">
        <w:t>“</w:t>
      </w:r>
      <w:r>
        <w:t>The Milbank Quarterly</w:t>
      </w:r>
      <w:r w:rsidR="00D2671A">
        <w:t>”</w:t>
      </w:r>
      <w:r>
        <w:t xml:space="preserve">, </w:t>
      </w:r>
      <w:r w:rsidR="00D2671A">
        <w:t>“</w:t>
      </w:r>
      <w:proofErr w:type="gramStart"/>
      <w:r>
        <w:t>74</w:t>
      </w:r>
      <w:r w:rsidR="00D2671A">
        <w:t>”</w:t>
      </w:r>
      <w:r>
        <w:t>(</w:t>
      </w:r>
      <w:proofErr w:type="gramEnd"/>
      <w:r>
        <w:t>4), 511–544. https://doi.org/10.2307/3355591</w:t>
      </w:r>
    </w:p>
    <w:sectPr w:rsidR="00EA65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2AB3"/>
    <w:rsid w:val="0029639D"/>
    <w:rsid w:val="00326F90"/>
    <w:rsid w:val="007E3F7F"/>
    <w:rsid w:val="00AA1D8D"/>
    <w:rsid w:val="00B47730"/>
    <w:rsid w:val="00CB0664"/>
    <w:rsid w:val="00D2671A"/>
    <w:rsid w:val="00EA65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64C4B"/>
  <w14:defaultImageDpi w14:val="300"/>
  <w15:docId w15:val="{F313A233-A9D9-4B2F-BE40-6DA135FC4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57274-8720-4193-A1FD-7E4AF369B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liang1</cp:lastModifiedBy>
  <cp:revision>4</cp:revision>
  <dcterms:created xsi:type="dcterms:W3CDTF">2013-12-23T23:15:00Z</dcterms:created>
  <dcterms:modified xsi:type="dcterms:W3CDTF">2025-06-02T12:40:00Z</dcterms:modified>
  <cp:category/>
</cp:coreProperties>
</file>