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72" w:rsidRPr="00B82DDA" w:rsidRDefault="006E0B72" w:rsidP="006E0B72">
      <w:pPr>
        <w:spacing w:line="480" w:lineRule="auto"/>
        <w:ind w:left="2880"/>
        <w:rPr>
          <w:rFonts w:ascii="Times New Roman" w:hAnsi="Times New Roman" w:cs="Times New Roman"/>
          <w:sz w:val="24"/>
          <w:szCs w:val="24"/>
        </w:rPr>
      </w:pPr>
    </w:p>
    <w:p w:rsidR="006E0B72" w:rsidRPr="00B82DDA" w:rsidRDefault="006E0B72" w:rsidP="006E0B72">
      <w:pPr>
        <w:spacing w:line="480" w:lineRule="auto"/>
        <w:ind w:left="2880"/>
        <w:rPr>
          <w:rFonts w:ascii="Times New Roman" w:eastAsia="Times New Roman" w:hAnsi="Times New Roman" w:cs="Times New Roman"/>
          <w:sz w:val="24"/>
          <w:szCs w:val="24"/>
        </w:rPr>
      </w:pPr>
    </w:p>
    <w:p w:rsidR="006E0B72" w:rsidRPr="00B82DDA" w:rsidRDefault="006E0B72" w:rsidP="006E0B72">
      <w:pPr>
        <w:spacing w:line="480" w:lineRule="auto"/>
        <w:ind w:left="2880"/>
        <w:rPr>
          <w:rFonts w:ascii="Times New Roman" w:eastAsia="Times New Roman" w:hAnsi="Times New Roman" w:cs="Times New Roman"/>
          <w:sz w:val="24"/>
          <w:szCs w:val="24"/>
        </w:rPr>
      </w:pPr>
    </w:p>
    <w:p w:rsidR="006E0B72" w:rsidRPr="00B82DDA" w:rsidRDefault="006E0B72" w:rsidP="006E0B72">
      <w:pPr>
        <w:spacing w:line="480" w:lineRule="auto"/>
        <w:ind w:left="2880"/>
        <w:rPr>
          <w:rFonts w:ascii="Times New Roman" w:eastAsia="Times New Roman" w:hAnsi="Times New Roman" w:cs="Times New Roman"/>
          <w:sz w:val="24"/>
          <w:szCs w:val="24"/>
        </w:rPr>
      </w:pPr>
    </w:p>
    <w:p w:rsidR="006E0B72" w:rsidRPr="00B82DDA" w:rsidRDefault="006E0B72" w:rsidP="006E0B72">
      <w:pPr>
        <w:spacing w:line="480" w:lineRule="auto"/>
        <w:ind w:left="2880"/>
        <w:rPr>
          <w:rFonts w:ascii="Times New Roman" w:eastAsia="Times New Roman" w:hAnsi="Times New Roman" w:cs="Times New Roman"/>
          <w:sz w:val="24"/>
          <w:szCs w:val="24"/>
        </w:rPr>
      </w:pPr>
    </w:p>
    <w:p w:rsidR="00FE13D7" w:rsidRPr="00B82DDA" w:rsidRDefault="00FE13D7" w:rsidP="00FD18C4">
      <w:pPr>
        <w:spacing w:line="480" w:lineRule="auto"/>
        <w:ind w:left="2880"/>
        <w:rPr>
          <w:rFonts w:ascii="Times New Roman" w:eastAsia="Times New Roman" w:hAnsi="Times New Roman" w:cs="Times New Roman"/>
          <w:sz w:val="24"/>
          <w:szCs w:val="24"/>
        </w:rPr>
      </w:pPr>
      <w:r w:rsidRPr="00B82DDA">
        <w:rPr>
          <w:rFonts w:ascii="Times New Roman" w:eastAsia="Times New Roman" w:hAnsi="Times New Roman" w:cs="Times New Roman"/>
          <w:sz w:val="24"/>
          <w:szCs w:val="24"/>
        </w:rPr>
        <w:t>University of the People</w:t>
      </w:r>
    </w:p>
    <w:p w:rsidR="00FE13D7" w:rsidRPr="00B82DDA" w:rsidRDefault="00FE13D7" w:rsidP="00FE13D7">
      <w:pPr>
        <w:spacing w:line="480" w:lineRule="auto"/>
        <w:jc w:val="center"/>
        <w:rPr>
          <w:rFonts w:ascii="Times New Roman" w:eastAsia="Times New Roman" w:hAnsi="Times New Roman" w:cs="Times New Roman"/>
          <w:sz w:val="24"/>
          <w:szCs w:val="24"/>
        </w:rPr>
      </w:pPr>
      <w:r w:rsidRPr="00B82DDA">
        <w:rPr>
          <w:rFonts w:ascii="Times New Roman" w:eastAsia="Times New Roman" w:hAnsi="Times New Roman" w:cs="Times New Roman"/>
          <w:sz w:val="24"/>
          <w:szCs w:val="24"/>
        </w:rPr>
        <w:t xml:space="preserve">PSYC Introduction to Health </w:t>
      </w:r>
      <w:proofErr w:type="spellStart"/>
      <w:r w:rsidRPr="00B82DDA">
        <w:rPr>
          <w:rFonts w:ascii="Times New Roman" w:eastAsia="Times New Roman" w:hAnsi="Times New Roman" w:cs="Times New Roman"/>
          <w:sz w:val="24"/>
          <w:szCs w:val="24"/>
        </w:rPr>
        <w:t>Phychology</w:t>
      </w:r>
      <w:proofErr w:type="spellEnd"/>
    </w:p>
    <w:p w:rsidR="00FE13D7" w:rsidRPr="00B82DDA" w:rsidRDefault="00FE13D7" w:rsidP="00FE13D7">
      <w:pPr>
        <w:spacing w:line="480" w:lineRule="auto"/>
        <w:jc w:val="center"/>
        <w:rPr>
          <w:rFonts w:ascii="Times New Roman" w:hAnsi="Times New Roman" w:cs="Times New Roman"/>
          <w:sz w:val="24"/>
          <w:szCs w:val="24"/>
        </w:rPr>
      </w:pPr>
      <w:r w:rsidRPr="00B82DDA">
        <w:rPr>
          <w:rFonts w:ascii="Times New Roman" w:eastAsia="Times New Roman" w:hAnsi="Times New Roman" w:cs="Times New Roman"/>
          <w:sz w:val="24"/>
          <w:szCs w:val="24"/>
        </w:rPr>
        <w:t xml:space="preserve">Unit </w:t>
      </w:r>
      <w:r w:rsidR="006E0B72" w:rsidRPr="00B82DDA">
        <w:rPr>
          <w:rFonts w:ascii="Times New Roman" w:eastAsia="宋体" w:hAnsi="Times New Roman" w:cs="Times New Roman"/>
          <w:sz w:val="24"/>
          <w:szCs w:val="24"/>
          <w:lang w:eastAsia="zh-CN"/>
        </w:rPr>
        <w:t>3</w:t>
      </w:r>
      <w:r w:rsidRPr="00B82DDA">
        <w:rPr>
          <w:rFonts w:ascii="Times New Roman" w:eastAsia="Times New Roman" w:hAnsi="Times New Roman" w:cs="Times New Roman"/>
          <w:sz w:val="24"/>
          <w:szCs w:val="24"/>
        </w:rPr>
        <w:t xml:space="preserve"> Written Assignment </w:t>
      </w:r>
      <w:r w:rsidR="006E0B72" w:rsidRPr="00B82DDA">
        <w:rPr>
          <w:rFonts w:ascii="Times New Roman" w:eastAsia="Times New Roman" w:hAnsi="Times New Roman" w:cs="Times New Roman"/>
          <w:sz w:val="24"/>
          <w:szCs w:val="24"/>
        </w:rPr>
        <w:t>3</w:t>
      </w:r>
    </w:p>
    <w:p w:rsidR="00FE13D7" w:rsidRPr="00B82DDA" w:rsidRDefault="00FE13D7" w:rsidP="00FE13D7">
      <w:pPr>
        <w:spacing w:line="480" w:lineRule="auto"/>
        <w:jc w:val="center"/>
        <w:rPr>
          <w:rFonts w:ascii="Times New Roman" w:eastAsia="Times New Roman" w:hAnsi="Times New Roman" w:cs="Times New Roman"/>
          <w:sz w:val="24"/>
          <w:szCs w:val="24"/>
        </w:rPr>
      </w:pPr>
      <w:r w:rsidRPr="00B82DDA">
        <w:rPr>
          <w:rFonts w:ascii="Times New Roman" w:eastAsia="Times New Roman" w:hAnsi="Times New Roman" w:cs="Times New Roman"/>
          <w:sz w:val="24"/>
          <w:szCs w:val="24"/>
        </w:rPr>
        <w:t>Liang Xiao</w:t>
      </w: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C92189" w:rsidRPr="00B82DDA" w:rsidRDefault="00C92189" w:rsidP="00FE13D7">
      <w:pPr>
        <w:spacing w:line="480" w:lineRule="auto"/>
        <w:jc w:val="center"/>
        <w:rPr>
          <w:rFonts w:ascii="Times New Roman" w:hAnsi="Times New Roman" w:cs="Times New Roman"/>
          <w:sz w:val="24"/>
          <w:szCs w:val="24"/>
        </w:rPr>
      </w:pPr>
    </w:p>
    <w:p w:rsidR="00D52958" w:rsidRPr="00B82DDA" w:rsidRDefault="00D52958">
      <w:pPr>
        <w:rPr>
          <w:rFonts w:ascii="Times New Roman" w:hAnsi="Times New Roman" w:cs="Times New Roman"/>
          <w:sz w:val="24"/>
          <w:szCs w:val="24"/>
        </w:rPr>
      </w:pPr>
    </w:p>
    <w:p w:rsidR="000C3DA0" w:rsidRDefault="000C3DA0">
      <w:pPr>
        <w:rPr>
          <w:rFonts w:ascii="Times New Roman" w:hAnsi="Times New Roman" w:cs="Times New Roman"/>
          <w:sz w:val="24"/>
          <w:szCs w:val="24"/>
        </w:rPr>
      </w:pPr>
      <w:r w:rsidRPr="001C2D9D">
        <w:rPr>
          <w:rFonts w:ascii="Times New Roman" w:hAnsi="Times New Roman" w:cs="Times New Roman"/>
          <w:b/>
          <w:sz w:val="24"/>
          <w:szCs w:val="24"/>
        </w:rPr>
        <w:lastRenderedPageBreak/>
        <w:t>Designing a Population-Level Intervention to Address Obesity Using the Behaviour Change Wheel</w:t>
      </w:r>
      <w:r w:rsidRPr="00B82DDA">
        <w:rPr>
          <w:rFonts w:ascii="Times New Roman" w:hAnsi="Times New Roman" w:cs="Times New Roman"/>
          <w:sz w:val="24"/>
          <w:szCs w:val="24"/>
        </w:rPr>
        <w:br/>
      </w:r>
      <w:r w:rsidRPr="00B82DDA">
        <w:rPr>
          <w:rFonts w:ascii="Times New Roman" w:hAnsi="Times New Roman" w:cs="Times New Roman"/>
          <w:sz w:val="24"/>
          <w:szCs w:val="24"/>
        </w:rPr>
        <w:br/>
        <w:t xml:space="preserve">Obesity is a critical public health concern linked to a multitude of chronic diseases including cardiovascular disease, diabetes, and certain cancers. As a </w:t>
      </w:r>
      <w:r w:rsidRPr="00B82DDA">
        <w:rPr>
          <w:rFonts w:ascii="Times New Roman" w:hAnsi="Times New Roman" w:cs="Times New Roman"/>
          <w:sz w:val="24"/>
          <w:szCs w:val="24"/>
        </w:rPr>
        <w:t xml:space="preserve">public health professional, designing an effective intervention to reduce obesity requires a robust theoretical framework. Among the available models, the Behaviour Change Wheel (BCW), underpinned by the COM-B system (Capability, Opportunity, Motivation – </w:t>
      </w:r>
      <w:r w:rsidRPr="00B82DDA">
        <w:rPr>
          <w:rFonts w:ascii="Times New Roman" w:hAnsi="Times New Roman" w:cs="Times New Roman"/>
          <w:sz w:val="24"/>
          <w:szCs w:val="24"/>
        </w:rPr>
        <w:t>Behaviour), presents a comprehensive and coherent structure for designing interventions with potential for sustainable impact (Michie, van Stralen, &amp; West, 2011).</w:t>
      </w:r>
      <w:r w:rsidRPr="00B82DDA">
        <w:rPr>
          <w:rFonts w:ascii="Times New Roman" w:hAnsi="Times New Roman" w:cs="Times New Roman"/>
          <w:sz w:val="24"/>
          <w:szCs w:val="24"/>
        </w:rPr>
        <w:br/>
      </w:r>
      <w:r w:rsidRPr="00B82DDA">
        <w:rPr>
          <w:rFonts w:ascii="Times New Roman" w:hAnsi="Times New Roman" w:cs="Times New Roman"/>
          <w:sz w:val="24"/>
          <w:szCs w:val="24"/>
        </w:rPr>
        <w:br/>
      </w:r>
      <w:r w:rsidRPr="001C2D9D">
        <w:rPr>
          <w:rFonts w:ascii="Times New Roman" w:hAnsi="Times New Roman" w:cs="Times New Roman"/>
          <w:b/>
          <w:sz w:val="24"/>
          <w:szCs w:val="24"/>
        </w:rPr>
        <w:t>Justification for Choosing the Behaviour Change Wheel</w:t>
      </w:r>
      <w:r w:rsidRPr="00B82DDA">
        <w:rPr>
          <w:rFonts w:ascii="Times New Roman" w:hAnsi="Times New Roman" w:cs="Times New Roman"/>
          <w:sz w:val="24"/>
          <w:szCs w:val="24"/>
        </w:rPr>
        <w:br/>
      </w:r>
      <w:r w:rsidRPr="00B82DDA">
        <w:rPr>
          <w:rFonts w:ascii="Times New Roman" w:hAnsi="Times New Roman" w:cs="Times New Roman"/>
          <w:sz w:val="24"/>
          <w:szCs w:val="24"/>
        </w:rPr>
        <w:br/>
        <w:t>The BCW is particularly appealing bec</w:t>
      </w:r>
      <w:r w:rsidRPr="00B82DDA">
        <w:rPr>
          <w:rFonts w:ascii="Times New Roman" w:hAnsi="Times New Roman" w:cs="Times New Roman"/>
          <w:sz w:val="24"/>
          <w:szCs w:val="24"/>
        </w:rPr>
        <w:t>ause it is not only grounded in a strong behavioural model (COM-B) but also provides clear pathways from behavioural diagnosis to policy-level action. Its integrative nature encapsulates intervention functions such as education, training, and environmental</w:t>
      </w:r>
      <w:r w:rsidRPr="00B82DDA">
        <w:rPr>
          <w:rFonts w:ascii="Times New Roman" w:hAnsi="Times New Roman" w:cs="Times New Roman"/>
          <w:sz w:val="24"/>
          <w:szCs w:val="24"/>
        </w:rPr>
        <w:t xml:space="preserve"> restructuring while aligning with relevant policy categories like legislation and service provision. Unlike linear models, the BCW accommodates the dynamic interplay between individual, social, and environmental determinants of behaviour (Michie et al., 2</w:t>
      </w:r>
      <w:r w:rsidRPr="00B82DDA">
        <w:rPr>
          <w:rFonts w:ascii="Times New Roman" w:hAnsi="Times New Roman" w:cs="Times New Roman"/>
          <w:sz w:val="24"/>
          <w:szCs w:val="24"/>
        </w:rPr>
        <w:t>011).</w:t>
      </w:r>
      <w:r w:rsidRPr="00B82DDA">
        <w:rPr>
          <w:rFonts w:ascii="Times New Roman" w:hAnsi="Times New Roman" w:cs="Times New Roman"/>
          <w:sz w:val="24"/>
          <w:szCs w:val="24"/>
        </w:rPr>
        <w:br/>
      </w:r>
      <w:r w:rsidRPr="00B82DDA">
        <w:rPr>
          <w:rFonts w:ascii="Times New Roman" w:hAnsi="Times New Roman" w:cs="Times New Roman"/>
          <w:sz w:val="24"/>
          <w:szCs w:val="24"/>
        </w:rPr>
        <w:br/>
      </w:r>
      <w:r w:rsidRPr="004C6125">
        <w:rPr>
          <w:rFonts w:ascii="Times New Roman" w:hAnsi="Times New Roman" w:cs="Times New Roman"/>
          <w:b/>
          <w:sz w:val="24"/>
          <w:szCs w:val="24"/>
        </w:rPr>
        <w:t>Application of the BCW to Obesity Intervention</w:t>
      </w:r>
      <w:r w:rsidRPr="00B82DDA">
        <w:rPr>
          <w:rFonts w:ascii="Times New Roman" w:hAnsi="Times New Roman" w:cs="Times New Roman"/>
          <w:sz w:val="24"/>
          <w:szCs w:val="24"/>
        </w:rPr>
        <w:br/>
      </w:r>
      <w:r w:rsidRPr="00B82DDA">
        <w:rPr>
          <w:rFonts w:ascii="Times New Roman" w:hAnsi="Times New Roman" w:cs="Times New Roman"/>
          <w:sz w:val="24"/>
          <w:szCs w:val="24"/>
        </w:rPr>
        <w:br/>
        <w:t xml:space="preserve">To target obesity reduction at the population level, the COM-B model helps identify behavioural deficits in physical activity and dietary choices. For instance, many individuals lack the psychological </w:t>
      </w:r>
      <w:r w:rsidRPr="00B82DDA">
        <w:rPr>
          <w:rFonts w:ascii="Times New Roman" w:hAnsi="Times New Roman" w:cs="Times New Roman"/>
          <w:sz w:val="24"/>
          <w:szCs w:val="24"/>
        </w:rPr>
        <w:t>capability to plan nutritious meals or interpret food labels, while others face physical opportunity barriers, such as lack of access to healthy food or safe spaces for exercise. Moreover, automatic motivation, including habitual consumption of high-calori</w:t>
      </w:r>
      <w:r w:rsidRPr="00B82DDA">
        <w:rPr>
          <w:rFonts w:ascii="Times New Roman" w:hAnsi="Times New Roman" w:cs="Times New Roman"/>
          <w:sz w:val="24"/>
          <w:szCs w:val="24"/>
        </w:rPr>
        <w:t>e foods and emotional eating, perpetuates unhealthy behaviours.</w:t>
      </w:r>
      <w:r w:rsidRPr="00B82DDA">
        <w:rPr>
          <w:rFonts w:ascii="Times New Roman" w:hAnsi="Times New Roman" w:cs="Times New Roman"/>
          <w:sz w:val="24"/>
          <w:szCs w:val="24"/>
        </w:rPr>
        <w:br/>
      </w:r>
      <w:r w:rsidRPr="00B82DDA">
        <w:rPr>
          <w:rFonts w:ascii="Times New Roman" w:hAnsi="Times New Roman" w:cs="Times New Roman"/>
          <w:sz w:val="24"/>
          <w:szCs w:val="24"/>
        </w:rPr>
        <w:br/>
        <w:t>Using this analysis, three key intervention functions from the BCW are proposed:</w:t>
      </w:r>
      <w:r w:rsidRPr="00B82DDA">
        <w:rPr>
          <w:rFonts w:ascii="Times New Roman" w:hAnsi="Times New Roman" w:cs="Times New Roman"/>
          <w:sz w:val="24"/>
          <w:szCs w:val="24"/>
        </w:rPr>
        <w:br/>
      </w:r>
      <w:r w:rsidRPr="00B82DDA">
        <w:rPr>
          <w:rFonts w:ascii="Times New Roman" w:hAnsi="Times New Roman" w:cs="Times New Roman"/>
          <w:sz w:val="24"/>
          <w:szCs w:val="24"/>
        </w:rPr>
        <w:br/>
        <w:t>1. Education – Deliver nationwide campaigns to increase awareness of healthy nutrition, the dangers of obesit</w:t>
      </w:r>
      <w:r w:rsidRPr="00B82DDA">
        <w:rPr>
          <w:rFonts w:ascii="Times New Roman" w:hAnsi="Times New Roman" w:cs="Times New Roman"/>
          <w:sz w:val="24"/>
          <w:szCs w:val="24"/>
        </w:rPr>
        <w:t>y, and the benefits of exercise. These efforts target psychological capability and reflective motivation by enhancing knowledge and intention (Michie et al., 2011).</w:t>
      </w:r>
      <w:r w:rsidRPr="00B82DDA">
        <w:rPr>
          <w:rFonts w:ascii="Times New Roman" w:hAnsi="Times New Roman" w:cs="Times New Roman"/>
          <w:sz w:val="24"/>
          <w:szCs w:val="24"/>
        </w:rPr>
        <w:br/>
      </w:r>
      <w:r w:rsidRPr="00B82DDA">
        <w:rPr>
          <w:rFonts w:ascii="Times New Roman" w:hAnsi="Times New Roman" w:cs="Times New Roman"/>
          <w:sz w:val="24"/>
          <w:szCs w:val="24"/>
        </w:rPr>
        <w:br/>
        <w:t>2. Environmental restructuring – Introduce urban planning initiatives that increase access</w:t>
      </w:r>
      <w:r w:rsidRPr="00B82DDA">
        <w:rPr>
          <w:rFonts w:ascii="Times New Roman" w:hAnsi="Times New Roman" w:cs="Times New Roman"/>
          <w:sz w:val="24"/>
          <w:szCs w:val="24"/>
        </w:rPr>
        <w:t>ibility to parks and subsidized healthy food outlets, especially in low-income areas. This directly enhances physical opportunity by modifying the context in which choices are made (Ogden, 2019).</w:t>
      </w:r>
      <w:r w:rsidRPr="00B82DDA">
        <w:rPr>
          <w:rFonts w:ascii="Times New Roman" w:hAnsi="Times New Roman" w:cs="Times New Roman"/>
          <w:sz w:val="24"/>
          <w:szCs w:val="24"/>
        </w:rPr>
        <w:br/>
      </w:r>
      <w:r w:rsidRPr="00B82DDA">
        <w:rPr>
          <w:rFonts w:ascii="Times New Roman" w:hAnsi="Times New Roman" w:cs="Times New Roman"/>
          <w:sz w:val="24"/>
          <w:szCs w:val="24"/>
        </w:rPr>
        <w:br/>
      </w:r>
      <w:r w:rsidRPr="00B82DDA">
        <w:rPr>
          <w:rFonts w:ascii="Times New Roman" w:hAnsi="Times New Roman" w:cs="Times New Roman"/>
          <w:sz w:val="24"/>
          <w:szCs w:val="24"/>
        </w:rPr>
        <w:lastRenderedPageBreak/>
        <w:t>3. Enablement – Provide community-level resources such as d</w:t>
      </w:r>
      <w:r w:rsidRPr="00B82DDA">
        <w:rPr>
          <w:rFonts w:ascii="Times New Roman" w:hAnsi="Times New Roman" w:cs="Times New Roman"/>
          <w:sz w:val="24"/>
          <w:szCs w:val="24"/>
        </w:rPr>
        <w:t xml:space="preserve">ietician consultations and mobile fitness apps to support goal setting and self-monitoring. </w:t>
      </w:r>
      <w:proofErr w:type="gramStart"/>
      <w:r w:rsidRPr="00B82DDA">
        <w:rPr>
          <w:rFonts w:ascii="Times New Roman" w:hAnsi="Times New Roman" w:cs="Times New Roman"/>
          <w:sz w:val="24"/>
          <w:szCs w:val="24"/>
        </w:rPr>
        <w:t>This tackles</w:t>
      </w:r>
      <w:proofErr w:type="gramEnd"/>
      <w:r w:rsidRPr="00B82DDA">
        <w:rPr>
          <w:rFonts w:ascii="Times New Roman" w:hAnsi="Times New Roman" w:cs="Times New Roman"/>
          <w:sz w:val="24"/>
          <w:szCs w:val="24"/>
        </w:rPr>
        <w:t xml:space="preserve"> both physical capability and motivational components (Ngigi &amp; Busolo, 2018).</w:t>
      </w:r>
      <w:r w:rsidRPr="00B82DDA">
        <w:rPr>
          <w:rFonts w:ascii="Times New Roman" w:hAnsi="Times New Roman" w:cs="Times New Roman"/>
          <w:sz w:val="24"/>
          <w:szCs w:val="24"/>
        </w:rPr>
        <w:br/>
      </w:r>
      <w:r w:rsidRPr="00B82DDA">
        <w:rPr>
          <w:rFonts w:ascii="Times New Roman" w:hAnsi="Times New Roman" w:cs="Times New Roman"/>
          <w:sz w:val="24"/>
          <w:szCs w:val="24"/>
        </w:rPr>
        <w:br/>
      </w:r>
      <w:r w:rsidRPr="00D2385D">
        <w:rPr>
          <w:rFonts w:ascii="Times New Roman" w:hAnsi="Times New Roman" w:cs="Times New Roman"/>
          <w:b/>
          <w:sz w:val="24"/>
          <w:szCs w:val="24"/>
        </w:rPr>
        <w:t>Strategy for Implementation</w:t>
      </w:r>
      <w:r w:rsidRPr="00B82DDA">
        <w:rPr>
          <w:rFonts w:ascii="Times New Roman" w:hAnsi="Times New Roman" w:cs="Times New Roman"/>
          <w:sz w:val="24"/>
          <w:szCs w:val="24"/>
        </w:rPr>
        <w:br/>
      </w:r>
      <w:r w:rsidRPr="00B82DDA">
        <w:rPr>
          <w:rFonts w:ascii="Times New Roman" w:hAnsi="Times New Roman" w:cs="Times New Roman"/>
          <w:sz w:val="24"/>
          <w:szCs w:val="24"/>
        </w:rPr>
        <w:br/>
        <w:t>Among the various strategies discussed in he</w:t>
      </w:r>
      <w:r w:rsidRPr="00B82DDA">
        <w:rPr>
          <w:rFonts w:ascii="Times New Roman" w:hAnsi="Times New Roman" w:cs="Times New Roman"/>
          <w:sz w:val="24"/>
          <w:szCs w:val="24"/>
        </w:rPr>
        <w:t>alth promotion literature, mass media campaigns emerge as a priority due to their broad reach and demonstrated impact. Effective communication channels, including television, radio, and digital platforms, can disseminate targeted messages that shift public</w:t>
      </w:r>
      <w:r w:rsidRPr="00B82DDA">
        <w:rPr>
          <w:rFonts w:ascii="Times New Roman" w:hAnsi="Times New Roman" w:cs="Times New Roman"/>
          <w:sz w:val="24"/>
          <w:szCs w:val="24"/>
        </w:rPr>
        <w:t xml:space="preserve"> perceptions, reinforce social norms, and improve health literacy (Ngigi &amp; Busolo, 2018).</w:t>
      </w:r>
      <w:r w:rsidRPr="00B82DDA">
        <w:rPr>
          <w:rFonts w:ascii="Times New Roman" w:hAnsi="Times New Roman" w:cs="Times New Roman"/>
          <w:sz w:val="24"/>
          <w:szCs w:val="24"/>
        </w:rPr>
        <w:br/>
      </w:r>
      <w:r w:rsidRPr="00B82DDA">
        <w:rPr>
          <w:rFonts w:ascii="Times New Roman" w:hAnsi="Times New Roman" w:cs="Times New Roman"/>
          <w:sz w:val="24"/>
          <w:szCs w:val="24"/>
        </w:rPr>
        <w:br/>
        <w:t>Mass media also complements interpersonal and environmental efforts, especially when embedded in broader campaigns that include local community events and partnershi</w:t>
      </w:r>
      <w:r w:rsidRPr="00B82DDA">
        <w:rPr>
          <w:rFonts w:ascii="Times New Roman" w:hAnsi="Times New Roman" w:cs="Times New Roman"/>
          <w:sz w:val="24"/>
          <w:szCs w:val="24"/>
        </w:rPr>
        <w:t>ps with influencers. In the BCW, these strategies fall under the "communication/marketing" and "guidelines" policy categories, promoting a layered approach to social mobilisation (Michie et al., 2011).</w:t>
      </w:r>
      <w:r w:rsidRPr="00B82DDA">
        <w:rPr>
          <w:rFonts w:ascii="Times New Roman" w:hAnsi="Times New Roman" w:cs="Times New Roman"/>
          <w:sz w:val="24"/>
          <w:szCs w:val="24"/>
        </w:rPr>
        <w:br/>
      </w:r>
      <w:r w:rsidRPr="00B82DDA">
        <w:rPr>
          <w:rFonts w:ascii="Times New Roman" w:hAnsi="Times New Roman" w:cs="Times New Roman"/>
          <w:sz w:val="24"/>
          <w:szCs w:val="24"/>
        </w:rPr>
        <w:br/>
        <w:t>Furthermore, incorporating entertainment education—su</w:t>
      </w:r>
      <w:r w:rsidRPr="00B82DDA">
        <w:rPr>
          <w:rFonts w:ascii="Times New Roman" w:hAnsi="Times New Roman" w:cs="Times New Roman"/>
          <w:sz w:val="24"/>
          <w:szCs w:val="24"/>
        </w:rPr>
        <w:t>ch as health narratives in popular media—can bridge cultural gaps and improve message salience (Ngigi &amp; Busolo, 2018). This approach leverages emotional stimuli, a key driver of behavioural change often underestimated in rational communication efforts.</w:t>
      </w:r>
      <w:r w:rsidRPr="00B82DDA">
        <w:rPr>
          <w:rFonts w:ascii="Times New Roman" w:hAnsi="Times New Roman" w:cs="Times New Roman"/>
          <w:sz w:val="24"/>
          <w:szCs w:val="24"/>
        </w:rPr>
        <w:br/>
      </w:r>
      <w:r w:rsidRPr="00B82DDA">
        <w:rPr>
          <w:rFonts w:ascii="Times New Roman" w:hAnsi="Times New Roman" w:cs="Times New Roman"/>
          <w:sz w:val="24"/>
          <w:szCs w:val="24"/>
        </w:rPr>
        <w:br/>
      </w:r>
      <w:r w:rsidRPr="000E4AD7">
        <w:rPr>
          <w:rFonts w:ascii="Times New Roman" w:hAnsi="Times New Roman" w:cs="Times New Roman"/>
          <w:b/>
          <w:sz w:val="24"/>
          <w:szCs w:val="24"/>
        </w:rPr>
        <w:t>Co</w:t>
      </w:r>
      <w:r w:rsidRPr="000E4AD7">
        <w:rPr>
          <w:rFonts w:ascii="Times New Roman" w:hAnsi="Times New Roman" w:cs="Times New Roman"/>
          <w:b/>
          <w:sz w:val="24"/>
          <w:szCs w:val="24"/>
        </w:rPr>
        <w:t>nclusion</w:t>
      </w:r>
      <w:r w:rsidRPr="00B82DDA">
        <w:rPr>
          <w:rFonts w:ascii="Times New Roman" w:hAnsi="Times New Roman" w:cs="Times New Roman"/>
          <w:sz w:val="24"/>
          <w:szCs w:val="24"/>
        </w:rPr>
        <w:br/>
      </w:r>
      <w:r w:rsidRPr="00B82DDA">
        <w:rPr>
          <w:rFonts w:ascii="Times New Roman" w:hAnsi="Times New Roman" w:cs="Times New Roman"/>
          <w:sz w:val="24"/>
          <w:szCs w:val="24"/>
        </w:rPr>
        <w:br/>
        <w:t xml:space="preserve">The Behaviour Change Wheel offers a structured and multidimensional approach for designing an obesity intervention that is theoretically sound and practically scalable. By identifying the COM-B components at play, selecting suitable intervention </w:t>
      </w:r>
      <w:r w:rsidRPr="00B82DDA">
        <w:rPr>
          <w:rFonts w:ascii="Times New Roman" w:hAnsi="Times New Roman" w:cs="Times New Roman"/>
          <w:sz w:val="24"/>
          <w:szCs w:val="24"/>
        </w:rPr>
        <w:t>functions, and deploying communication strategies like mass media and environmental restructuring, this model increases the likelihood of achieving sustained behaviour change. Future success will depend on robust evaluation metrics and collaboration across</w:t>
      </w:r>
      <w:r w:rsidRPr="00B82DDA">
        <w:rPr>
          <w:rFonts w:ascii="Times New Roman" w:hAnsi="Times New Roman" w:cs="Times New Roman"/>
          <w:sz w:val="24"/>
          <w:szCs w:val="24"/>
        </w:rPr>
        <w:t xml:space="preserve"> sectors to ensure interventions are equitable and culturally resonant.</w:t>
      </w:r>
      <w:r w:rsidRPr="00B82DDA">
        <w:rPr>
          <w:rFonts w:ascii="Times New Roman" w:hAnsi="Times New Roman" w:cs="Times New Roman"/>
          <w:sz w:val="24"/>
          <w:szCs w:val="24"/>
        </w:rPr>
        <w:br/>
      </w:r>
      <w:r w:rsidRPr="00B82DDA">
        <w:rPr>
          <w:rFonts w:ascii="Times New Roman" w:hAnsi="Times New Roman" w:cs="Times New Roman"/>
          <w:sz w:val="24"/>
          <w:szCs w:val="24"/>
        </w:rPr>
        <w:br/>
      </w:r>
    </w:p>
    <w:p w:rsidR="000C3DA0" w:rsidRDefault="000C3DA0">
      <w:pPr>
        <w:rPr>
          <w:rFonts w:ascii="Times New Roman" w:hAnsi="Times New Roman" w:cs="Times New Roman"/>
          <w:sz w:val="24"/>
          <w:szCs w:val="24"/>
        </w:rPr>
      </w:pPr>
    </w:p>
    <w:p w:rsidR="000C3DA0" w:rsidRDefault="000C3DA0">
      <w:pPr>
        <w:rPr>
          <w:rFonts w:ascii="Times New Roman" w:hAnsi="Times New Roman" w:cs="Times New Roman"/>
          <w:sz w:val="24"/>
          <w:szCs w:val="24"/>
        </w:rPr>
      </w:pPr>
    </w:p>
    <w:p w:rsidR="000C3DA0" w:rsidRDefault="000C3DA0">
      <w:pPr>
        <w:rPr>
          <w:rFonts w:ascii="Times New Roman" w:hAnsi="Times New Roman" w:cs="Times New Roman"/>
          <w:sz w:val="24"/>
          <w:szCs w:val="24"/>
        </w:rPr>
      </w:pPr>
    </w:p>
    <w:p w:rsidR="000C3DA0" w:rsidRDefault="000C3DA0">
      <w:pPr>
        <w:rPr>
          <w:rFonts w:ascii="Times New Roman" w:hAnsi="Times New Roman" w:cs="Times New Roman"/>
          <w:sz w:val="24"/>
          <w:szCs w:val="24"/>
        </w:rPr>
      </w:pPr>
    </w:p>
    <w:p w:rsidR="00D52958" w:rsidRPr="00B82DDA" w:rsidRDefault="000C3DA0">
      <w:pPr>
        <w:rPr>
          <w:rFonts w:ascii="Times New Roman" w:hAnsi="Times New Roman" w:cs="Times New Roman"/>
          <w:sz w:val="24"/>
          <w:szCs w:val="24"/>
        </w:rPr>
      </w:pPr>
      <w:bookmarkStart w:id="0" w:name="_GoBack"/>
      <w:bookmarkEnd w:id="0"/>
      <w:r w:rsidRPr="00B82DDA">
        <w:rPr>
          <w:rFonts w:ascii="Times New Roman" w:hAnsi="Times New Roman" w:cs="Times New Roman"/>
          <w:sz w:val="24"/>
          <w:szCs w:val="24"/>
        </w:rPr>
        <w:lastRenderedPageBreak/>
        <w:br/>
      </w:r>
      <w:r w:rsidRPr="00B82DDA">
        <w:rPr>
          <w:rFonts w:ascii="Times New Roman" w:hAnsi="Times New Roman" w:cs="Times New Roman"/>
          <w:sz w:val="24"/>
          <w:szCs w:val="24"/>
        </w:rPr>
        <w:br/>
      </w:r>
      <w:r w:rsidRPr="000E4AD7">
        <w:rPr>
          <w:rFonts w:ascii="Times New Roman" w:hAnsi="Times New Roman" w:cs="Times New Roman"/>
          <w:b/>
          <w:sz w:val="24"/>
          <w:szCs w:val="24"/>
        </w:rPr>
        <w:t>References</w:t>
      </w:r>
      <w:r w:rsidRPr="00B82DDA">
        <w:rPr>
          <w:rFonts w:ascii="Times New Roman" w:hAnsi="Times New Roman" w:cs="Times New Roman"/>
          <w:sz w:val="24"/>
          <w:szCs w:val="24"/>
        </w:rPr>
        <w:br/>
      </w:r>
      <w:r w:rsidRPr="00B82DDA">
        <w:rPr>
          <w:rFonts w:ascii="Times New Roman" w:hAnsi="Times New Roman" w:cs="Times New Roman"/>
          <w:sz w:val="24"/>
          <w:szCs w:val="24"/>
        </w:rPr>
        <w:br/>
        <w:t>Michie, S., van Stralen, M. M., &amp; West, R. (2011). The behaviour change wheel: A new method for characterising and designing behaviour change intervention</w:t>
      </w:r>
      <w:r w:rsidRPr="00B82DDA">
        <w:rPr>
          <w:rFonts w:ascii="Times New Roman" w:hAnsi="Times New Roman" w:cs="Times New Roman"/>
          <w:sz w:val="24"/>
          <w:szCs w:val="24"/>
        </w:rPr>
        <w:t>s. Implementation Science, 6(42). https://doi.org/10.1186/1748-5908-6-42</w:t>
      </w:r>
      <w:r w:rsidRPr="00B82DDA">
        <w:rPr>
          <w:rFonts w:ascii="Times New Roman" w:hAnsi="Times New Roman" w:cs="Times New Roman"/>
          <w:sz w:val="24"/>
          <w:szCs w:val="24"/>
        </w:rPr>
        <w:br/>
      </w:r>
      <w:r w:rsidRPr="00B82DDA">
        <w:rPr>
          <w:rFonts w:ascii="Times New Roman" w:hAnsi="Times New Roman" w:cs="Times New Roman"/>
          <w:sz w:val="24"/>
          <w:szCs w:val="24"/>
        </w:rPr>
        <w:br/>
        <w:t>Ngigi, S., &amp; Busolo, D. N. (2018). Behaviour change communication in health promotion: Appropriate practices and promising approaches. International Journal of Innovative Research an</w:t>
      </w:r>
      <w:r w:rsidRPr="00B82DDA">
        <w:rPr>
          <w:rFonts w:ascii="Times New Roman" w:hAnsi="Times New Roman" w:cs="Times New Roman"/>
          <w:sz w:val="24"/>
          <w:szCs w:val="24"/>
        </w:rPr>
        <w:t>d Development, 7(9), 84–93. https://doi.org/10.24940/ijird/2018/v7/i9/sep18027</w:t>
      </w:r>
      <w:r w:rsidRPr="00B82DDA">
        <w:rPr>
          <w:rFonts w:ascii="Times New Roman" w:hAnsi="Times New Roman" w:cs="Times New Roman"/>
          <w:sz w:val="24"/>
          <w:szCs w:val="24"/>
        </w:rPr>
        <w:br/>
      </w:r>
      <w:r w:rsidRPr="00B82DDA">
        <w:rPr>
          <w:rFonts w:ascii="Times New Roman" w:hAnsi="Times New Roman" w:cs="Times New Roman"/>
          <w:sz w:val="24"/>
          <w:szCs w:val="24"/>
        </w:rPr>
        <w:br/>
        <w:t>Ogden, J. (2019). The psychology of health and illness: An open access course. McGraw-Hill Education.</w:t>
      </w:r>
    </w:p>
    <w:p w:rsidR="003A1180" w:rsidRPr="00B82DDA" w:rsidRDefault="000C3DA0" w:rsidP="00FB2575">
      <w:pPr>
        <w:spacing w:line="480" w:lineRule="auto"/>
        <w:jc w:val="center"/>
        <w:rPr>
          <w:rFonts w:ascii="Times New Roman" w:eastAsia="Times New Roman" w:hAnsi="Times New Roman" w:cs="Times New Roman"/>
          <w:sz w:val="24"/>
          <w:szCs w:val="24"/>
        </w:rPr>
      </w:pPr>
    </w:p>
    <w:p w:rsidR="003A1180" w:rsidRPr="00B82DDA" w:rsidRDefault="000C3DA0" w:rsidP="00FB2575">
      <w:pPr>
        <w:spacing w:line="480" w:lineRule="auto"/>
        <w:jc w:val="center"/>
        <w:rPr>
          <w:rFonts w:ascii="Times New Roman" w:eastAsia="Times New Roman" w:hAnsi="Times New Roman" w:cs="Times New Roman"/>
          <w:sz w:val="24"/>
          <w:szCs w:val="24"/>
        </w:rPr>
      </w:pPr>
    </w:p>
    <w:p w:rsidR="003A1180" w:rsidRPr="00B82DDA" w:rsidRDefault="000C3DA0" w:rsidP="00FB2575">
      <w:pPr>
        <w:spacing w:line="480" w:lineRule="auto"/>
        <w:jc w:val="center"/>
        <w:rPr>
          <w:rFonts w:ascii="Times New Roman" w:eastAsia="Times New Roman" w:hAnsi="Times New Roman" w:cs="Times New Roman"/>
          <w:sz w:val="24"/>
          <w:szCs w:val="24"/>
        </w:rPr>
      </w:pPr>
    </w:p>
    <w:p w:rsidR="003A1180" w:rsidRPr="00B82DDA" w:rsidRDefault="000C3DA0" w:rsidP="00FB2575">
      <w:pPr>
        <w:spacing w:line="480" w:lineRule="auto"/>
        <w:jc w:val="center"/>
        <w:rPr>
          <w:rFonts w:ascii="Times New Roman" w:eastAsia="Times New Roman" w:hAnsi="Times New Roman" w:cs="Times New Roman"/>
          <w:sz w:val="24"/>
          <w:szCs w:val="24"/>
        </w:rPr>
      </w:pPr>
    </w:p>
    <w:p w:rsidR="003A1180" w:rsidRPr="00B82DDA" w:rsidRDefault="000C3DA0" w:rsidP="00FB2575">
      <w:pPr>
        <w:spacing w:line="480" w:lineRule="auto"/>
        <w:jc w:val="center"/>
        <w:rPr>
          <w:rFonts w:ascii="Times New Roman" w:eastAsia="Times New Roman" w:hAnsi="Times New Roman" w:cs="Times New Roman"/>
          <w:sz w:val="24"/>
          <w:szCs w:val="24"/>
        </w:rPr>
      </w:pPr>
    </w:p>
    <w:p w:rsidR="003A1180" w:rsidRPr="00B82DDA" w:rsidRDefault="000C3DA0" w:rsidP="00FB2575">
      <w:pPr>
        <w:spacing w:line="480" w:lineRule="auto"/>
        <w:jc w:val="center"/>
        <w:rPr>
          <w:rFonts w:ascii="Times New Roman" w:eastAsia="Times New Roman" w:hAnsi="Times New Roman" w:cs="Times New Roman"/>
          <w:sz w:val="24"/>
          <w:szCs w:val="24"/>
        </w:rPr>
      </w:pPr>
    </w:p>
    <w:p w:rsidR="00702BD7" w:rsidRPr="00B82DDA" w:rsidRDefault="000C3DA0" w:rsidP="00FB2575">
      <w:pPr>
        <w:spacing w:line="480" w:lineRule="auto"/>
        <w:rPr>
          <w:rFonts w:ascii="Times New Roman" w:hAnsi="Times New Roman" w:cs="Times New Roman"/>
          <w:sz w:val="24"/>
          <w:szCs w:val="24"/>
        </w:rPr>
      </w:pPr>
    </w:p>
    <w:p w:rsidR="00644DF9" w:rsidRPr="00B82DDA" w:rsidRDefault="000C3DA0" w:rsidP="00FB2575">
      <w:pPr>
        <w:spacing w:line="480" w:lineRule="auto"/>
        <w:rPr>
          <w:rFonts w:ascii="Times New Roman" w:hAnsi="Times New Roman" w:cs="Times New Roman"/>
          <w:sz w:val="24"/>
          <w:szCs w:val="24"/>
        </w:rPr>
      </w:pPr>
    </w:p>
    <w:p w:rsidR="00644DF9" w:rsidRPr="00B82DDA" w:rsidRDefault="000C3DA0" w:rsidP="00FB2575">
      <w:pPr>
        <w:spacing w:line="480" w:lineRule="auto"/>
        <w:rPr>
          <w:rFonts w:ascii="Times New Roman" w:hAnsi="Times New Roman" w:cs="Times New Roman"/>
          <w:sz w:val="24"/>
          <w:szCs w:val="24"/>
        </w:rPr>
      </w:pPr>
    </w:p>
    <w:p w:rsidR="008529B4" w:rsidRPr="00B82DDA" w:rsidRDefault="000C3DA0" w:rsidP="00FB2575">
      <w:pPr>
        <w:spacing w:line="480" w:lineRule="auto"/>
        <w:rPr>
          <w:rFonts w:ascii="Times New Roman" w:hAnsi="Times New Roman" w:cs="Times New Roman"/>
          <w:sz w:val="24"/>
          <w:szCs w:val="24"/>
        </w:rPr>
      </w:pPr>
    </w:p>
    <w:p w:rsidR="008529B4" w:rsidRPr="00B82DDA" w:rsidRDefault="000C3DA0" w:rsidP="00FB2575">
      <w:pPr>
        <w:spacing w:line="480" w:lineRule="auto"/>
        <w:rPr>
          <w:rFonts w:ascii="Times New Roman" w:hAnsi="Times New Roman" w:cs="Times New Roman"/>
          <w:sz w:val="24"/>
          <w:szCs w:val="24"/>
        </w:rPr>
      </w:pPr>
    </w:p>
    <w:p w:rsidR="008529B4" w:rsidRPr="00B82DDA" w:rsidRDefault="000C3DA0" w:rsidP="00FB2575">
      <w:pPr>
        <w:spacing w:line="480" w:lineRule="auto"/>
        <w:rPr>
          <w:rFonts w:ascii="Times New Roman" w:hAnsi="Times New Roman" w:cs="Times New Roman"/>
          <w:sz w:val="24"/>
          <w:szCs w:val="24"/>
        </w:rPr>
      </w:pPr>
    </w:p>
    <w:p w:rsidR="00644DF9" w:rsidRPr="00B82DDA" w:rsidRDefault="000C3DA0" w:rsidP="00FB2575">
      <w:pPr>
        <w:spacing w:line="480" w:lineRule="auto"/>
        <w:rPr>
          <w:rFonts w:ascii="Times New Roman" w:hAnsi="Times New Roman" w:cs="Times New Roman"/>
          <w:sz w:val="24"/>
          <w:szCs w:val="24"/>
        </w:rPr>
      </w:pPr>
    </w:p>
    <w:p w:rsidR="00644DF9" w:rsidRPr="00B82DDA" w:rsidRDefault="000C3DA0" w:rsidP="00FB2575">
      <w:pPr>
        <w:spacing w:line="480" w:lineRule="auto"/>
        <w:rPr>
          <w:rFonts w:ascii="Times New Roman" w:hAnsi="Times New Roman" w:cs="Times New Roman"/>
          <w:sz w:val="24"/>
          <w:szCs w:val="24"/>
        </w:rPr>
      </w:pPr>
    </w:p>
    <w:p w:rsidR="001B0C14" w:rsidRPr="00B82DDA" w:rsidRDefault="000C3DA0" w:rsidP="00FB2575">
      <w:pPr>
        <w:spacing w:line="480" w:lineRule="auto"/>
        <w:rPr>
          <w:rFonts w:ascii="Times New Roman" w:hAnsi="Times New Roman" w:cs="Times New Roman"/>
          <w:sz w:val="24"/>
          <w:szCs w:val="24"/>
        </w:rPr>
      </w:pPr>
    </w:p>
    <w:p w:rsidR="00084024" w:rsidRPr="00B82DDA" w:rsidRDefault="000C3DA0" w:rsidP="00FB2575">
      <w:pPr>
        <w:spacing w:line="480" w:lineRule="auto"/>
        <w:rPr>
          <w:rFonts w:ascii="Times New Roman" w:hAnsi="Times New Roman" w:cs="Times New Roman"/>
          <w:sz w:val="24"/>
          <w:szCs w:val="24"/>
        </w:rPr>
      </w:pPr>
    </w:p>
    <w:sectPr w:rsidR="00084024" w:rsidRPr="00B82DDA" w:rsidSect="000346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DA0"/>
    <w:rsid w:val="000E4AD7"/>
    <w:rsid w:val="00124FB7"/>
    <w:rsid w:val="0015074B"/>
    <w:rsid w:val="001C2D9D"/>
    <w:rsid w:val="0029639D"/>
    <w:rsid w:val="00326F90"/>
    <w:rsid w:val="003D5388"/>
    <w:rsid w:val="004C6125"/>
    <w:rsid w:val="006E0B72"/>
    <w:rsid w:val="00A95B3B"/>
    <w:rsid w:val="00AA1D8D"/>
    <w:rsid w:val="00B47730"/>
    <w:rsid w:val="00B82DDA"/>
    <w:rsid w:val="00C92189"/>
    <w:rsid w:val="00CB0664"/>
    <w:rsid w:val="00D2385D"/>
    <w:rsid w:val="00D52958"/>
    <w:rsid w:val="00FC693F"/>
    <w:rsid w:val="00FD18C4"/>
    <w:rsid w:val="00FE1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FF6B73"/>
  <w14:defaultImageDpi w14:val="300"/>
  <w15:docId w15:val="{DD187DD0-B9DF-47E2-9CC4-BC0DF265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88491-3DF4-457A-8E59-087140AC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676</Words>
  <Characters>4489</Characters>
  <Application>Microsoft Office Word</Application>
  <DocSecurity>0</DocSecurity>
  <Lines>132</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14</cp:revision>
  <dcterms:created xsi:type="dcterms:W3CDTF">2013-12-23T23:15:00Z</dcterms:created>
  <dcterms:modified xsi:type="dcterms:W3CDTF">2025-04-24T16:07:00Z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54da8e5fb7f60ae061b3e63edb7c072af64480352ed844fcb6076890d9cda4f8</vt:lpwstr>
  </property>
</Properties>
</file>