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088" w:rsidRDefault="003F0088" w:rsidP="003F0088">
      <w:pPr>
        <w:spacing w:line="480" w:lineRule="auto"/>
        <w:jc w:val="center"/>
        <w:rPr>
          <w:rFonts w:eastAsia="Times New Roman" w:cs="Times New Roman"/>
        </w:rPr>
      </w:pPr>
    </w:p>
    <w:p w:rsidR="00B51BF3" w:rsidRDefault="00B51BF3" w:rsidP="003F0088">
      <w:pPr>
        <w:spacing w:line="480" w:lineRule="auto"/>
        <w:jc w:val="center"/>
        <w:rPr>
          <w:rFonts w:eastAsia="Times New Roman" w:cs="Times New Roman"/>
        </w:rPr>
      </w:pPr>
    </w:p>
    <w:p w:rsidR="00B51BF3" w:rsidRDefault="00B51BF3" w:rsidP="003F0088">
      <w:pPr>
        <w:spacing w:line="480" w:lineRule="auto"/>
        <w:jc w:val="center"/>
        <w:rPr>
          <w:rFonts w:eastAsia="Times New Roman" w:cs="Times New Roman"/>
        </w:rPr>
      </w:pPr>
    </w:p>
    <w:p w:rsidR="00B51BF3" w:rsidRDefault="00B51BF3" w:rsidP="003F0088">
      <w:pPr>
        <w:spacing w:line="480" w:lineRule="auto"/>
        <w:jc w:val="center"/>
        <w:rPr>
          <w:rFonts w:eastAsia="Times New Roman" w:cs="Times New Roman"/>
        </w:rPr>
      </w:pPr>
    </w:p>
    <w:p w:rsidR="00B51BF3" w:rsidRDefault="00B51BF3" w:rsidP="003F0088">
      <w:pPr>
        <w:spacing w:line="480" w:lineRule="auto"/>
        <w:jc w:val="center"/>
        <w:rPr>
          <w:rFonts w:eastAsia="Times New Roman" w:cs="Times New Roman"/>
        </w:rPr>
      </w:pPr>
    </w:p>
    <w:p w:rsidR="003F0088" w:rsidRDefault="003F0088" w:rsidP="003F0088">
      <w:pPr>
        <w:spacing w:line="48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University of the People</w:t>
      </w:r>
    </w:p>
    <w:p w:rsidR="003F0088" w:rsidRDefault="003F0088" w:rsidP="003F0088">
      <w:pPr>
        <w:spacing w:line="48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PSYC</w:t>
      </w:r>
      <w:proofErr w:type="gramStart"/>
      <w:r>
        <w:rPr>
          <w:rFonts w:eastAsia="Times New Roman" w:cs="Times New Roman"/>
        </w:rPr>
        <w:t>1205  Emotional</w:t>
      </w:r>
      <w:proofErr w:type="gramEnd"/>
      <w:r>
        <w:rPr>
          <w:rFonts w:eastAsia="Times New Roman" w:cs="Times New Roman"/>
        </w:rPr>
        <w:t xml:space="preserve"> Intelligence</w:t>
      </w:r>
    </w:p>
    <w:p w:rsidR="003F0088" w:rsidRDefault="003F0088" w:rsidP="003F0088">
      <w:pPr>
        <w:spacing w:line="480" w:lineRule="auto"/>
        <w:jc w:val="center"/>
        <w:rPr>
          <w:rFonts w:cs="Times New Roman"/>
        </w:rPr>
      </w:pPr>
      <w:r>
        <w:rPr>
          <w:rFonts w:eastAsia="Times New Roman" w:cs="Times New Roman"/>
        </w:rPr>
        <w:t xml:space="preserve">Unit </w:t>
      </w:r>
      <w:r w:rsidR="00C35D62">
        <w:rPr>
          <w:rFonts w:ascii="宋体" w:eastAsia="宋体" w:hAnsi="宋体" w:cs="宋体"/>
          <w:lang w:eastAsia="zh-CN"/>
        </w:rPr>
        <w:t>4</w:t>
      </w:r>
      <w:r>
        <w:rPr>
          <w:rFonts w:eastAsia="Times New Roman" w:cs="Times New Roman"/>
        </w:rPr>
        <w:t xml:space="preserve"> Written Assignment </w:t>
      </w:r>
      <w:r w:rsidR="00C35D62">
        <w:rPr>
          <w:rFonts w:eastAsia="Times New Roman" w:cs="Times New Roman"/>
        </w:rPr>
        <w:t>4</w:t>
      </w:r>
    </w:p>
    <w:p w:rsidR="003F0088" w:rsidRDefault="003F0088" w:rsidP="003F0088">
      <w:pPr>
        <w:spacing w:line="480" w:lineRule="auto"/>
        <w:jc w:val="center"/>
        <w:rPr>
          <w:rFonts w:cs="Times New Roman"/>
        </w:rPr>
      </w:pPr>
      <w:r>
        <w:rPr>
          <w:rFonts w:eastAsia="Times New Roman" w:cs="Times New Roman"/>
        </w:rPr>
        <w:t>Liang Xiao</w:t>
      </w:r>
    </w:p>
    <w:p w:rsidR="003F0088" w:rsidRDefault="003F0088">
      <w:pPr>
        <w:pStyle w:val="Heading1"/>
      </w:pPr>
    </w:p>
    <w:p w:rsidR="002312D0" w:rsidRDefault="002312D0" w:rsidP="002312D0"/>
    <w:p w:rsidR="002312D0" w:rsidRDefault="002312D0" w:rsidP="002312D0"/>
    <w:p w:rsidR="002312D0" w:rsidRDefault="002312D0" w:rsidP="002312D0"/>
    <w:p w:rsidR="002312D0" w:rsidRDefault="002312D0" w:rsidP="002312D0"/>
    <w:p w:rsidR="002312D0" w:rsidRDefault="002312D0" w:rsidP="002312D0"/>
    <w:p w:rsidR="002312D0" w:rsidRDefault="002312D0" w:rsidP="002312D0"/>
    <w:p w:rsidR="002312D0" w:rsidRDefault="002312D0" w:rsidP="002312D0"/>
    <w:p w:rsidR="002312D0" w:rsidRPr="002312D0" w:rsidRDefault="002312D0" w:rsidP="002312D0">
      <w:bookmarkStart w:id="0" w:name="_GoBack"/>
      <w:bookmarkEnd w:id="0"/>
    </w:p>
    <w:p w:rsidR="00F438E5" w:rsidRDefault="002312D0">
      <w:pPr>
        <w:pStyle w:val="Heading1"/>
      </w:pPr>
      <w:r>
        <w:lastRenderedPageBreak/>
        <w:t>Empathy, Empathetic Communication, Social Awareness, and Emotional Intelligence</w:t>
      </w:r>
    </w:p>
    <w:p w:rsidR="00F438E5" w:rsidRDefault="002312D0">
      <w:pPr>
        <w:pStyle w:val="Heading2"/>
      </w:pPr>
      <w:r>
        <w:t>1. Definition and Importance of Empathy</w:t>
      </w:r>
    </w:p>
    <w:p w:rsidR="00F438E5" w:rsidRDefault="002312D0">
      <w:r>
        <w:t xml:space="preserve">Empathy is commonly defined as the ability to understand and share the feelings of another person (Goleman, 1995). It involves both </w:t>
      </w:r>
      <w:r>
        <w:t>cognitive and affective components: recognizing another’s emotional state and responding with appropriate concern (Decety &amp; Jackson, 2004). In interpersonal relationships, empathy fosters deeper understanding, reduces conflicts, and promotes trust. Profess</w:t>
      </w:r>
      <w:r>
        <w:t>ionally, it enhances teamwork, client relationships, and leadership effectiveness (Clark, 2010).</w:t>
      </w:r>
    </w:p>
    <w:p w:rsidR="00F438E5" w:rsidRDefault="002312D0">
      <w:r>
        <w:t>For example, in a previous group project at university, a lack of empathy from a team member who dismissed others' concerns led to misunderstandings and resent</w:t>
      </w:r>
      <w:r>
        <w:t>ment. Their refusal to acknowledge the stress and workload of peers resulted in poor collaboration and a delayed submission. This experience highlighted how the absence of empathy can erode cooperation and outcomes.</w:t>
      </w:r>
    </w:p>
    <w:p w:rsidR="00F438E5" w:rsidRDefault="002312D0">
      <w:pPr>
        <w:pStyle w:val="Heading2"/>
      </w:pPr>
      <w:r>
        <w:t>2. Empathetic Communication Skills</w:t>
      </w:r>
    </w:p>
    <w:p w:rsidR="00F438E5" w:rsidRDefault="002312D0">
      <w:r>
        <w:t>Empat</w:t>
      </w:r>
      <w:r>
        <w:t>hetic communication involves actively listening, taking perspectives, and utilizing nonverbal cues (Rogers, 1957). Active listening requires giving undivided attention, paraphrasing to confirm understanding, and withholding judgment (Brownell, 2012). Persp</w:t>
      </w:r>
      <w:r>
        <w:t>ective-taking involves imagining oneself in the other’s situation, while nonverbal empathy cues include eye contact, open body posture, and mirroring facial expressions (Burgoon et al., 2016).</w:t>
      </w:r>
    </w:p>
    <w:p w:rsidR="00F438E5" w:rsidRDefault="002312D0">
      <w:r>
        <w:t xml:space="preserve">Personally, I employed these skills during a conversation with </w:t>
      </w:r>
      <w:r>
        <w:t>a friend facing academic pressure. By maintaining eye contact, nodding, and paraphrasing their concerns ('It sounds like you’re overwhelmed by deadlines'), I helped them feel heard. This approach encouraged openness and allowed me to suggest coping strateg</w:t>
      </w:r>
      <w:r>
        <w:t>ies without seeming dismissive.</w:t>
      </w:r>
    </w:p>
    <w:p w:rsidR="00F438E5" w:rsidRDefault="002312D0">
      <w:pPr>
        <w:pStyle w:val="Heading2"/>
      </w:pPr>
      <w:r>
        <w:t>3. Social Awareness and Its Importance</w:t>
      </w:r>
    </w:p>
    <w:p w:rsidR="00F438E5" w:rsidRDefault="002312D0">
      <w:r>
        <w:t>Social awareness refers to recognizing and understanding social norms, cultural values, and group dynamics (Salovey &amp; Mayer, 1990). It is crucial in navigating diverse environments, avo</w:t>
      </w:r>
      <w:r>
        <w:t>iding cultural insensitivity, and adapting behavior to different contexts (Matsumoto &amp; Juang, 2016).</w:t>
      </w:r>
    </w:p>
    <w:p w:rsidR="00F438E5" w:rsidRDefault="002312D0">
      <w:r>
        <w:t>Currently, I consider myself moderately socially aware. I am attuned to basic cultural differences but occasionally miss subtle cues in unfamiliar cultural</w:t>
      </w:r>
      <w:r>
        <w:t xml:space="preserve"> settings. To enhance my social awareness, I plan to engage in cultural competency workshops, seek feedback from diverse peers, and practice mindful observation in multicultural interactions. These </w:t>
      </w:r>
      <w:r>
        <w:lastRenderedPageBreak/>
        <w:t>strategies aim to expand my understanding of varying commu</w:t>
      </w:r>
      <w:r>
        <w:t>nication styles, values, and expectations.</w:t>
      </w:r>
    </w:p>
    <w:p w:rsidR="00F438E5" w:rsidRDefault="002312D0">
      <w:pPr>
        <w:pStyle w:val="Heading2"/>
      </w:pPr>
      <w:r>
        <w:t>4. Emotional Intelligence, Diversity, and Multicultural Competency</w:t>
      </w:r>
    </w:p>
    <w:p w:rsidR="00F438E5" w:rsidRDefault="002312D0">
      <w:r>
        <w:t>Emotional intelligence (EI) encompasses self-awareness, self-regulation, motivation, empathy, and social skills (Goleman, 1995). A strong relation</w:t>
      </w:r>
      <w:r>
        <w:t>ship exists between EI and multicultural competency because both require empathy, perspective-taking, and adaptability (Chao, 2012). Higher EI facilitates better engagement with diverse individuals by reducing biases, enhancing cross-cultural communication</w:t>
      </w:r>
      <w:r>
        <w:t>, and promoting inclusive practices (Ang et al., 2007).</w:t>
      </w:r>
    </w:p>
    <w:p w:rsidR="00F438E5" w:rsidRDefault="002312D0">
      <w:r>
        <w:t>In my future professional role, enhancing EI and empathy can foster a more inclusive environment by enabling me to address unconscious biases, value diverse perspectives, and mediate conflicts effecti</w:t>
      </w:r>
      <w:r>
        <w:t>vely. For instance, recognizing emotional cues in multicultural teams can prevent misinterpretations and promote collaboration.</w:t>
      </w:r>
    </w:p>
    <w:p w:rsidR="00F438E5" w:rsidRDefault="002312D0">
      <w:pPr>
        <w:pStyle w:val="Heading2"/>
      </w:pPr>
      <w:r>
        <w:t>References</w:t>
      </w:r>
    </w:p>
    <w:p w:rsidR="00F438E5" w:rsidRDefault="002312D0">
      <w:r>
        <w:t xml:space="preserve">Ang, S., Van Dyne, L., &amp; Koh, C. (2007). Cultural intelligence: Its measurement and effects on cultural judgment and </w:t>
      </w:r>
      <w:r>
        <w:t>decision making, cultural adaptation and task performance. Management and Organization Review, 3(3), 335–371. https://doi.org/10.1111/j.1740-8784.2007.00082.x</w:t>
      </w:r>
    </w:p>
    <w:p w:rsidR="00F438E5" w:rsidRDefault="002312D0">
      <w:r>
        <w:t>Brownell, J. (2012). Listening: Attitudes, principles, and skills (5th ed.). Pearson.</w:t>
      </w:r>
    </w:p>
    <w:p w:rsidR="00F438E5" w:rsidRDefault="002312D0">
      <w:r>
        <w:t>Burgoon, J.</w:t>
      </w:r>
      <w:r>
        <w:t xml:space="preserve"> K., Guerrero, L. K., &amp; Floyd, K. (2016). Nonverbal communication. Routledge.</w:t>
      </w:r>
    </w:p>
    <w:p w:rsidR="00F438E5" w:rsidRDefault="002312D0">
      <w:r>
        <w:t>Chao, R. C. (2012). Racial/ethnic identity, gender-role attitudes, and multicultural competence: The role of multicultural counseling training. Journal of Counseling &amp; Developmen</w:t>
      </w:r>
      <w:r>
        <w:t>t, 90(1), 35–44. https://doi.org/10.1111/j.1556-6676.2012.00006.x</w:t>
      </w:r>
    </w:p>
    <w:p w:rsidR="00F438E5" w:rsidRDefault="002312D0">
      <w:r>
        <w:t>Clark, C. (2010). Empathy: An integral component in nursing education curricula. Nursing Education Perspectives, 31(1), 36–40.</w:t>
      </w:r>
    </w:p>
    <w:p w:rsidR="00F438E5" w:rsidRDefault="002312D0">
      <w:r>
        <w:t>Decety, J., &amp; Jackson, P. L. (2004). The functional architectur</w:t>
      </w:r>
      <w:r>
        <w:t>e of human empathy. Behavioral and Cognitive Neuroscience Reviews, 3(2), 71–100.</w:t>
      </w:r>
    </w:p>
    <w:p w:rsidR="00F438E5" w:rsidRDefault="002312D0">
      <w:r>
        <w:t>Goleman, D. (1995). Emotional intelligence: Why it can matter more than IQ. Bantam Books.</w:t>
      </w:r>
    </w:p>
    <w:p w:rsidR="00F438E5" w:rsidRDefault="002312D0">
      <w:r>
        <w:t>Matsumoto, D., &amp; Juang, L. (2016). Culture and psychology (6th ed.). Cengage Learning</w:t>
      </w:r>
      <w:r>
        <w:t>.</w:t>
      </w:r>
    </w:p>
    <w:p w:rsidR="00F438E5" w:rsidRDefault="002312D0">
      <w:r>
        <w:t>Rogers, C. R. (1957). The necessary and sufficient conditions of therapeutic personality change. Journal of Consulting Psychology, 21(2), 95–103.</w:t>
      </w:r>
    </w:p>
    <w:p w:rsidR="00F438E5" w:rsidRDefault="002312D0">
      <w:r>
        <w:lastRenderedPageBreak/>
        <w:t>Salovey, P., &amp; Mayer, J. D. (1990). Emotional intelligence. Imagination, Cognition and Personality, 9(3), 18</w:t>
      </w:r>
      <w:r>
        <w:t>5–211.</w:t>
      </w:r>
    </w:p>
    <w:sectPr w:rsidR="00F43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2D0"/>
    <w:rsid w:val="0029639D"/>
    <w:rsid w:val="00326F90"/>
    <w:rsid w:val="003F0088"/>
    <w:rsid w:val="00AA1D8D"/>
    <w:rsid w:val="00B47730"/>
    <w:rsid w:val="00B51BF3"/>
    <w:rsid w:val="00C35D62"/>
    <w:rsid w:val="00CB0664"/>
    <w:rsid w:val="00F438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4C8DA"/>
  <w14:defaultImageDpi w14:val="300"/>
  <w15:docId w15:val="{54A09F13-91FE-4CCE-9111-3E48168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4FF353-4DB5-461B-B601-093C25CA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5</cp:revision>
  <dcterms:created xsi:type="dcterms:W3CDTF">2013-12-23T23:15:00Z</dcterms:created>
  <dcterms:modified xsi:type="dcterms:W3CDTF">2025-05-04T14:46:00Z</dcterms:modified>
  <cp:category/>
</cp:coreProperties>
</file>