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6311265"/>
            <wp:effectExtent l="0" t="0" r="9525" b="13335"/>
            <wp:docPr id="2" name="图片 2" descr="全日制学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全日制学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135" cy="4248785"/>
            <wp:effectExtent l="0" t="0" r="5715" b="18415"/>
            <wp:docPr id="3" name="图片 3" descr="全日制专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全日制专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3515" cy="2854325"/>
            <wp:effectExtent l="0" t="0" r="13335" b="3175"/>
            <wp:docPr id="4" name="图片 4" descr="全日制学说联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全日制学说联合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4107180"/>
            <wp:effectExtent l="0" t="0" r="8890" b="7620"/>
            <wp:docPr id="5" name="图片 5" descr="非全专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非全专硕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3107055"/>
            <wp:effectExtent l="0" t="0" r="9525" b="17145"/>
            <wp:docPr id="6" name="图片 6" descr="非全联合培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非全联合培养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3E2680"/>
    <w:rsid w:val="6A934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2019-04-13T12:25:07Z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