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r>
        <w:t xml:space="preserve">Kexin Cui</w:t>
      </w:r>
    </w:p>
    <w:bookmarkStart w:id="20" w:name="summaryabstract"/>
    <w:p>
      <w:pPr>
        <w:pStyle w:val="Heading1"/>
      </w:pPr>
      <w:r>
        <w:t xml:space="preserve">1. Summary/Abstract</w:t>
      </w:r>
    </w:p>
    <w:p>
      <w:pPr>
        <w:pStyle w:val="FirstParagraph"/>
      </w:pPr>
      <w:r>
        <w:t xml:space="preserve">This project uses human microbiome sequencing data as an example of complex genetics and –omics data. Microbiome data are generated from sequencing technologies and consist of multiple linked components, including microbial feature counts, taxonomic annotations, and sample metadata, which require specialized data structures and tools for analysis. Publicly available 16S rRNA sequencing data from the Human Microbiome Project will be accessed through the Bioconductor ecosystem and explored using</w:t>
      </w:r>
      <w:r>
        <w:t xml:space="preserve"> </w:t>
      </w:r>
      <w:r>
        <w:rPr>
          <w:rStyle w:val="VerbatimChar"/>
        </w:rPr>
        <w:t xml:space="preserve">SummarizedExperiment</w:t>
      </w:r>
      <w:r>
        <w:t xml:space="preserve"> </w:t>
      </w:r>
      <w:r>
        <w:t xml:space="preserve">and</w:t>
      </w:r>
      <w:r>
        <w:t xml:space="preserve"> </w:t>
      </w:r>
      <w:r>
        <w:rPr>
          <w:rStyle w:val="VerbatimChar"/>
        </w:rPr>
        <w:t xml:space="preserve">phyloseq</w:t>
      </w:r>
      <w:r>
        <w:t xml:space="preserve"> </w:t>
      </w:r>
      <w:r>
        <w:t xml:space="preserve">objects. The goal of this initial project stage is to assess feasibility by loading the data, performing minimal preprocessing, and conducting exploratory analyses such as se</w:t>
      </w:r>
    </w:p>
    <w:p>
      <w:pPr>
        <w:pStyle w:val="BodyText"/>
      </w:pPr>
      <w:r>
        <w:rPr>
          <w:i/>
          <w:iCs/>
        </w:rPr>
        <w:t xml:space="preserve">It is recommended to use a structured abstract with Background/Methods/Results/Discussion sections.</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Microbiome research aims to characterize microbial communities and understand how they vary across environments or host conditions. Many microbiome studies rely on sequencing technologies such as 16S rRNA amplicon sequencing, which generate high-dimensional count data that are often sparse and noisy. As a result, microbiome data analysis requires specialized workflows and tools that differ from standard analyses of simple rectangular datasets.</w:t>
      </w:r>
    </w:p>
    <w:p>
      <w:pPr>
        <w:pStyle w:val="BodyText"/>
      </w:pPr>
      <w:r>
        <w:t xml:space="preserve">These data are commonly categorized as genetics or –omics data. While some –omics datasets can be represented in rectangular form, they typically have many more features than samples and require preprocessing steps such as filtering, normalization, and dimension reduction. The Bioconductor project provides a comprehensive collection of R packages and standardized data structures designed specifically for genetics and –omics data analysis, making it a natural framework for microbiome research.</w:t>
      </w:r>
    </w:p>
    <w:bookmarkEnd w:id="21"/>
    <w:bookmarkStart w:id="22" w:name="description-of-data-and-data-source"/>
    <w:p>
      <w:pPr>
        <w:pStyle w:val="Heading2"/>
      </w:pPr>
      <w:r>
        <w:t xml:space="preserve">2.2 Description of data and data source</w:t>
      </w:r>
    </w:p>
    <w:p>
      <w:pPr>
        <w:pStyle w:val="FirstParagraph"/>
      </w:pPr>
      <w:r>
        <w:t xml:space="preserve">The data used in this project are 16S rRNA sequencing data from the Human Microbiome Project (HMP), obtained using the</w:t>
      </w:r>
      <w:r>
        <w:t xml:space="preserve"> </w:t>
      </w:r>
      <w:r>
        <w:rPr>
          <w:rStyle w:val="VerbatimChar"/>
        </w:rPr>
        <w:t xml:space="preserve">HMP16SData</w:t>
      </w:r>
      <w:r>
        <w:t xml:space="preserve"> </w:t>
      </w:r>
      <w:r>
        <w:t xml:space="preserve">Bioconductor package. The unit of observation is an individual microbiome sample. For each sample, the dataset contains a high-dimensional table of microbial feature counts, a taxonomy table assigning features to taxonomic ranks (e.g., phylum and genus), and sample-level metadata describing characteristics such as body site.</w:t>
      </w:r>
    </w:p>
    <w:p>
      <w:pPr>
        <w:pStyle w:val="BodyText"/>
      </w:pPr>
      <w:r>
        <w:t xml:space="preserve">This dataset represents a complex data type because it is not a single rectangular data frame. Instead, it consists of multiple linked components that are stored in specialized data structures, such as</w:t>
      </w:r>
      <w:r>
        <w:t xml:space="preserve"> </w:t>
      </w:r>
      <w:r>
        <w:rPr>
          <w:rStyle w:val="VerbatimChar"/>
        </w:rPr>
        <w:t xml:space="preserve">SummarizedExperiment</w:t>
      </w:r>
      <w:r>
        <w:t xml:space="preserve"> </w:t>
      </w:r>
      <w:r>
        <w:t xml:space="preserve">and</w:t>
      </w:r>
      <w:r>
        <w:t xml:space="preserve"> </w:t>
      </w:r>
      <w:r>
        <w:rPr>
          <w:rStyle w:val="VerbatimChar"/>
        </w:rPr>
        <w:t xml:space="preserve">phyloseq</w:t>
      </w:r>
      <w:r>
        <w:t xml:space="preserve"> </w:t>
      </w:r>
      <w:r>
        <w:t xml:space="preserve">objects. The number of microbial features greatly exceeds the number of samples, and many features are rare or absent in most samples, motivating the use of filtering and transformation steps prior to modeling.</w:t>
      </w:r>
    </w:p>
    <w:bookmarkEnd w:id="22"/>
    <w:bookmarkStart w:id="23" w:name="questionshypotheses-to-be-addressed"/>
    <w:p>
      <w:pPr>
        <w:pStyle w:val="Heading2"/>
      </w:pPr>
      <w:r>
        <w:t xml:space="preserve">2.3 Questions/Hypotheses to be addressed</w:t>
      </w:r>
    </w:p>
    <w:p>
      <w:pPr>
        <w:pStyle w:val="FirstParagraph"/>
      </w:pPr>
      <w:r>
        <w:t xml:space="preserve">The primary question of this project is whether microbiome community structure differs across sample groups defined by available metadata, such as body site. Outcomes of interest include alpha diversity measures (e.g., Shannon diversity) that summarize within-sample diversity, as well as beta diversity measures that capture differences in community composition between samples. I hypothesize that samples from different body sites will exhibit distinct diversity patterns and will cluster separately in ordination analyses.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23"/>
    <w:bookmarkEnd w:id="24"/>
    <w:bookmarkStart w:id="33"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9"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28" w:name="fig-schematic"/>
          <w:p>
            <w:pPr>
              <w:pStyle w:val="Compact"/>
              <w:jc w:val="center"/>
            </w:pPr>
            <w:r>
              <w:drawing>
                <wp:inline>
                  <wp:extent cx="5334000" cy="4978399"/>
                  <wp:effectExtent b="0" l="0" r="0" t="0"/>
                  <wp:docPr descr="" title="" id="26" name="Picture"/>
                  <a:graphic>
                    <a:graphicData uri="http://schemas.openxmlformats.org/drawingml/2006/picture">
                      <pic:pic>
                        <pic:nvPicPr>
                          <pic:cNvPr descr="../../assets/antigen-recognition.png" id="27" name="Picture"/>
                          <pic:cNvPicPr>
                            <a:picLocks noChangeArrowheads="1" noChangeAspect="1"/>
                          </pic:cNvPicPr>
                        </pic:nvPicPr>
                        <pic:blipFill>
                          <a:blip r:embed="rId25"/>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28"/>
        </w:tc>
      </w:tr>
    </w:tbl>
    <w:bookmarkEnd w:id="29"/>
    <w:bookmarkStart w:id="30" w:name="data-acquisition"/>
    <w:p>
      <w:pPr>
        <w:pStyle w:val="Heading2"/>
      </w:pPr>
      <w:r>
        <w:t xml:space="preserve">3.2 Data acquisition</w:t>
      </w:r>
    </w:p>
    <w:p>
      <w:pPr>
        <w:pStyle w:val="FirstParagraph"/>
      </w:pPr>
      <w:r>
        <w:t xml:space="preserve">The data were obtained directly from the Human Microbiome Project using the Bioconductor package</w:t>
      </w:r>
      <w:r>
        <w:t xml:space="preserve"> </w:t>
      </w:r>
      <w:r>
        <w:rPr>
          <w:rStyle w:val="VerbatimChar"/>
        </w:rPr>
        <w:t xml:space="preserve">HMP16SData</w:t>
      </w:r>
      <w:r>
        <w:t xml:space="preserve">. The V3–V5 16S rRNA amplicon dataset was imported programmatically in R using the</w:t>
      </w:r>
      <w:r>
        <w:t xml:space="preserve"> </w:t>
      </w:r>
      <w:r>
        <w:rPr>
          <w:rStyle w:val="VerbatimChar"/>
        </w:rPr>
        <w:t xml:space="preserve">V35()</w:t>
      </w:r>
      <w:r>
        <w:t xml:space="preserve"> </w:t>
      </w:r>
      <w:r>
        <w:t xml:space="preserve">function, which returns the data as a</w:t>
      </w:r>
      <w:r>
        <w:t xml:space="preserve"> </w:t>
      </w:r>
      <w:r>
        <w:rPr>
          <w:rStyle w:val="VerbatimChar"/>
        </w:rPr>
        <w:t xml:space="preserve">SummarizedExperiment</w:t>
      </w:r>
      <w:r>
        <w:t xml:space="preserve"> </w:t>
      </w:r>
      <w:r>
        <w:t xml:space="preserve">object containing microbial feature counts, taxonomic annotations, and sample metadata. The data were then converted to a</w:t>
      </w:r>
      <w:r>
        <w:t xml:space="preserve"> </w:t>
      </w:r>
      <w:r>
        <w:rPr>
          <w:rStyle w:val="VerbatimChar"/>
        </w:rPr>
        <w:t xml:space="preserve">phyloseq</w:t>
      </w:r>
      <w:r>
        <w:t xml:space="preserve"> </w:t>
      </w:r>
      <w:r>
        <w:t xml:space="preserve">object to support microbiome-specific data handling and exploratory analysis. Programmatic data access through Bioconductor ensures reproducibility and avoids manual data downloads.</w:t>
      </w:r>
    </w:p>
    <w:bookmarkEnd w:id="30"/>
    <w:bookmarkStart w:id="31" w:name="data-import-and-cleaning"/>
    <w:p>
      <w:pPr>
        <w:pStyle w:val="Heading2"/>
      </w:pPr>
      <w:r>
        <w:t xml:space="preserve">3.3 Data import and cleaning</w:t>
      </w:r>
    </w:p>
    <w:p>
      <w:pPr>
        <w:pStyle w:val="FirstParagraph"/>
      </w:pPr>
      <w:r>
        <w:t xml:space="preserve">After loading the data, several basic data checks and preprocessing steps were performed to prepare the microbiome data for exploratory analysis. Taxonomy and sample metadata were inspected to confirm successful import and consistency. Microbial features with zero total counts were removed, and rare taxa present in only a small number of samples were filtered out to reduce sparsity. Finally, raw count data were transformed to relative abundances to account for differences in sequencing depth across samples. These steps produced a cleaned dataset suitabl</w:t>
      </w:r>
    </w:p>
    <w:bookmarkEnd w:id="31"/>
    <w:bookmarkStart w:id="32"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2"/>
    <w:bookmarkEnd w:id="33"/>
    <w:bookmarkStart w:id="50" w:name="results"/>
    <w:p>
      <w:pPr>
        <w:pStyle w:val="Heading1"/>
      </w:pPr>
      <w:r>
        <w:t xml:space="preserve">4. Results</w:t>
      </w:r>
    </w:p>
    <w:bookmarkStart w:id="35" w:name="exploratorydescriptive-analysis"/>
    <w:p>
      <w:pPr>
        <w:pStyle w:val="Heading2"/>
      </w:pPr>
      <w:r>
        <w:t xml:space="preserve">4.1 Exploratory/Descriptive analysis</w:t>
      </w:r>
    </w:p>
    <w:p>
      <w:pPr>
        <w:pStyle w:val="FirstParagraph"/>
      </w:pPr>
      <w:r>
        <w:t xml:space="preserve">Exploratory analyses were used to summarize key characteristics of the microbiome dataset and assess feasibility for later modeling. I first examined sequencing depth across samples to understand variability in read counts. Next, I summarized community composition by visualizing relative abundances of dominant taxonomic groups (phylum level). Finally, I computed alpha diversity (Shannon index) to describe within-sample diversity and compared it across a metadata-defined grouping variable (e.g., body subsite). These descriptive results provide a high-level overview of the data structure and major patterns without performing formal hypothesis testing.</w:t>
      </w:r>
    </w:p>
    <w:p>
      <w:pPr>
        <w:pStyle w:val="BodyText"/>
      </w:pPr>
      <w:hyperlink w:anchor="tbl-exploratory-summary">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34" w:name="tbl-exploratory-summary"/>
          <w:p>
            <w:pPr>
              <w:jc w:val="center"/>
            </w:pPr>
            <w:pPr>
              <w:jc w:val="left"/>
              <w:spacing w:before="200"/>
              <w:pStyle w:val="ImageCaption"/>
            </w:pPr>
            <w:r>
              <w:t xml:space="preserve">Table 1: Exploratory summary by body subsite (sample size, sequencing depth, and Shannon diversity).</w:t>
            </w:r>
          </w:p>
          <w:tbl>
            <w:tblPr>
              <w:tblStyle w:val="Table"/>
              <w:tblW w:type="pct" w:w="5000"/>
              <w:tblLayout w:type="fixed"/>
              <w:tblLook w:firstRow="1" w:lastRow="0" w:firstColumn="0" w:lastColumn="0" w:noHBand="0" w:noVBand="0" w:val="0020"/>
            </w:tblPr>
            <w:tblGrid>
              <w:gridCol w:w="2835"/>
              <w:gridCol w:w="977"/>
              <w:gridCol w:w="1760"/>
              <w:gridCol w:w="1271"/>
              <w:gridCol w:w="1075"/>
            </w:tblGrid>
            <w:tr>
              <w:trPr>
                <w:tblHeader w:val="on"/>
              </w:trPr>
              <w:tc>
                <w:tcPr/>
                <w:p>
                  <w:pPr>
                    <w:pStyle w:val="Compact"/>
                    <w:jc w:val="left"/>
                    <w:jc w:val="center"/>
                  </w:pPr>
                  <w:r>
                    <w:t xml:space="preserve">group</w:t>
                  </w:r>
                </w:p>
              </w:tc>
              <w:tc>
                <w:tcPr/>
                <w:p>
                  <w:pPr>
                    <w:pStyle w:val="Compact"/>
                    <w:jc w:val="right"/>
                    <w:jc w:val="center"/>
                  </w:pPr>
                  <w:r>
                    <w:t xml:space="preserve">n_samples</w:t>
                  </w:r>
                </w:p>
              </w:tc>
              <w:tc>
                <w:tcPr/>
                <w:p>
                  <w:pPr>
                    <w:pStyle w:val="Compact"/>
                    <w:jc w:val="right"/>
                    <w:jc w:val="center"/>
                  </w:pPr>
                  <w:r>
                    <w:t xml:space="preserve">mean_library_size</w:t>
                  </w:r>
                </w:p>
              </w:tc>
              <w:tc>
                <w:tcPr/>
                <w:p>
                  <w:pPr>
                    <w:pStyle w:val="Compact"/>
                    <w:jc w:val="right"/>
                    <w:jc w:val="center"/>
                  </w:pPr>
                  <w:r>
                    <w:t xml:space="preserve">mean_shannon</w:t>
                  </w:r>
                </w:p>
              </w:tc>
              <w:tc>
                <w:tcPr/>
                <w:p>
                  <w:pPr>
                    <w:pStyle w:val="Compact"/>
                    <w:jc w:val="right"/>
                    <w:jc w:val="center"/>
                  </w:pPr>
                  <w:r>
                    <w:t xml:space="preserve">sd_shannon</w:t>
                  </w:r>
                </w:p>
              </w:tc>
            </w:tr>
            <w:tr>
              <w:tc>
                <w:tcPr/>
                <w:p>
                  <w:pPr>
                    <w:pStyle w:val="Compact"/>
                    <w:jc w:val="left"/>
                    <w:jc w:val="center"/>
                  </w:pPr>
                  <w:r>
                    <w:t xml:space="preserve">Anterior Nares</w:t>
                  </w:r>
                </w:p>
              </w:tc>
              <w:tc>
                <w:tcPr/>
                <w:p>
                  <w:pPr>
                    <w:pStyle w:val="Compact"/>
                    <w:jc w:val="right"/>
                    <w:jc w:val="center"/>
                  </w:pPr>
                  <w:r>
                    <w:t xml:space="preserve">269</w:t>
                  </w:r>
                </w:p>
              </w:tc>
              <w:tc>
                <w:tcPr/>
                <w:p>
                  <w:pPr>
                    <w:pStyle w:val="Compact"/>
                    <w:jc w:val="right"/>
                    <w:jc w:val="center"/>
                  </w:pPr>
                  <w:r>
                    <w:t xml:space="preserve">1</w:t>
                  </w:r>
                </w:p>
              </w:tc>
              <w:tc>
                <w:tcPr/>
                <w:p>
                  <w:pPr>
                    <w:pStyle w:val="Compact"/>
                    <w:jc w:val="right"/>
                    <w:jc w:val="center"/>
                  </w:pPr>
                  <w:r>
                    <w:t xml:space="preserve">4.460047</w:t>
                  </w:r>
                </w:p>
              </w:tc>
              <w:tc>
                <w:tcPr/>
                <w:p>
                  <w:pPr>
                    <w:pStyle w:val="Compact"/>
                    <w:jc w:val="right"/>
                    <w:jc w:val="center"/>
                  </w:pPr>
                  <w:r>
                    <w:t xml:space="preserve">0.8706772</w:t>
                  </w:r>
                </w:p>
              </w:tc>
            </w:tr>
            <w:tr>
              <w:tc>
                <w:tcPr/>
                <w:p>
                  <w:pPr>
                    <w:pStyle w:val="Compact"/>
                    <w:jc w:val="left"/>
                    <w:jc w:val="center"/>
                  </w:pPr>
                  <w:r>
                    <w:t xml:space="preserve">Attached Keratinized Gingiva</w:t>
                  </w:r>
                </w:p>
              </w:tc>
              <w:tc>
                <w:tcPr/>
                <w:p>
                  <w:pPr>
                    <w:pStyle w:val="Compact"/>
                    <w:jc w:val="right"/>
                    <w:jc w:val="center"/>
                  </w:pPr>
                  <w:r>
                    <w:t xml:space="preserve">313</w:t>
                  </w:r>
                </w:p>
              </w:tc>
              <w:tc>
                <w:tcPr/>
                <w:p>
                  <w:pPr>
                    <w:pStyle w:val="Compact"/>
                    <w:jc w:val="right"/>
                    <w:jc w:val="center"/>
                  </w:pPr>
                  <w:r>
                    <w:t xml:space="preserve">1</w:t>
                  </w:r>
                </w:p>
              </w:tc>
              <w:tc>
                <w:tcPr/>
                <w:p>
                  <w:pPr>
                    <w:pStyle w:val="Compact"/>
                    <w:jc w:val="right"/>
                    <w:jc w:val="center"/>
                  </w:pPr>
                  <w:r>
                    <w:t xml:space="preserve">4.653602</w:t>
                  </w:r>
                </w:p>
              </w:tc>
              <w:tc>
                <w:tcPr/>
                <w:p>
                  <w:pPr>
                    <w:pStyle w:val="Compact"/>
                    <w:jc w:val="right"/>
                    <w:jc w:val="center"/>
                  </w:pPr>
                  <w:r>
                    <w:t xml:space="preserve">0.7127585</w:t>
                  </w:r>
                </w:p>
              </w:tc>
            </w:tr>
            <w:tr>
              <w:tc>
                <w:tcPr/>
                <w:p>
                  <w:pPr>
                    <w:pStyle w:val="Compact"/>
                    <w:jc w:val="left"/>
                    <w:jc w:val="center"/>
                  </w:pPr>
                  <w:r>
                    <w:t xml:space="preserve">Buccal Mucosa</w:t>
                  </w:r>
                </w:p>
              </w:tc>
              <w:tc>
                <w:tcPr/>
                <w:p>
                  <w:pPr>
                    <w:pStyle w:val="Compact"/>
                    <w:jc w:val="right"/>
                    <w:jc w:val="center"/>
                  </w:pPr>
                  <w:r>
                    <w:t xml:space="preserve">312</w:t>
                  </w:r>
                </w:p>
              </w:tc>
              <w:tc>
                <w:tcPr/>
                <w:p>
                  <w:pPr>
                    <w:pStyle w:val="Compact"/>
                    <w:jc w:val="right"/>
                    <w:jc w:val="center"/>
                  </w:pPr>
                  <w:r>
                    <w:t xml:space="preserve">1</w:t>
                  </w:r>
                </w:p>
              </w:tc>
              <w:tc>
                <w:tcPr/>
                <w:p>
                  <w:pPr>
                    <w:pStyle w:val="Compact"/>
                    <w:jc w:val="right"/>
                    <w:jc w:val="center"/>
                  </w:pPr>
                  <w:r>
                    <w:t xml:space="preserve">4.876263</w:t>
                  </w:r>
                </w:p>
              </w:tc>
              <w:tc>
                <w:tcPr/>
                <w:p>
                  <w:pPr>
                    <w:pStyle w:val="Compact"/>
                    <w:jc w:val="right"/>
                    <w:jc w:val="center"/>
                  </w:pPr>
                  <w:r>
                    <w:t xml:space="preserve">0.7913452</w:t>
                  </w:r>
                </w:p>
              </w:tc>
            </w:tr>
            <w:tr>
              <w:tc>
                <w:tcPr/>
                <w:p>
                  <w:pPr>
                    <w:pStyle w:val="Compact"/>
                    <w:jc w:val="left"/>
                    <w:jc w:val="center"/>
                  </w:pPr>
                  <w:r>
                    <w:t xml:space="preserve">Hard Palate</w:t>
                  </w:r>
                </w:p>
              </w:tc>
              <w:tc>
                <w:tcPr/>
                <w:p>
                  <w:pPr>
                    <w:pStyle w:val="Compact"/>
                    <w:jc w:val="right"/>
                    <w:jc w:val="center"/>
                  </w:pPr>
                  <w:r>
                    <w:t xml:space="preserve">302</w:t>
                  </w:r>
                </w:p>
              </w:tc>
              <w:tc>
                <w:tcPr/>
                <w:p>
                  <w:pPr>
                    <w:pStyle w:val="Compact"/>
                    <w:jc w:val="right"/>
                    <w:jc w:val="center"/>
                  </w:pPr>
                  <w:r>
                    <w:t xml:space="preserve">1</w:t>
                  </w:r>
                </w:p>
              </w:tc>
              <w:tc>
                <w:tcPr/>
                <w:p>
                  <w:pPr>
                    <w:pStyle w:val="Compact"/>
                    <w:jc w:val="right"/>
                    <w:jc w:val="center"/>
                  </w:pPr>
                  <w:r>
                    <w:t xml:space="preserve">5.254429</w:t>
                  </w:r>
                </w:p>
              </w:tc>
              <w:tc>
                <w:tcPr/>
                <w:p>
                  <w:pPr>
                    <w:pStyle w:val="Compact"/>
                    <w:jc w:val="right"/>
                    <w:jc w:val="center"/>
                  </w:pPr>
                  <w:r>
                    <w:t xml:space="preserve">0.7266700</w:t>
                  </w:r>
                </w:p>
              </w:tc>
            </w:tr>
            <w:tr>
              <w:tc>
                <w:tcPr/>
                <w:p>
                  <w:pPr>
                    <w:pStyle w:val="Compact"/>
                    <w:jc w:val="left"/>
                    <w:jc w:val="center"/>
                  </w:pPr>
                  <w:r>
                    <w:t xml:space="preserve">Left Antecubital Fossa</w:t>
                  </w:r>
                </w:p>
              </w:tc>
              <w:tc>
                <w:tcPr/>
                <w:p>
                  <w:pPr>
                    <w:pStyle w:val="Compact"/>
                    <w:jc w:val="right"/>
                    <w:jc w:val="center"/>
                  </w:pPr>
                  <w:r>
                    <w:t xml:space="preserve">201</w:t>
                  </w:r>
                </w:p>
              </w:tc>
              <w:tc>
                <w:tcPr/>
                <w:p>
                  <w:pPr>
                    <w:pStyle w:val="Compact"/>
                    <w:jc w:val="right"/>
                    <w:jc w:val="center"/>
                  </w:pPr>
                  <w:r>
                    <w:t xml:space="preserve">1</w:t>
                  </w:r>
                </w:p>
              </w:tc>
              <w:tc>
                <w:tcPr/>
                <w:p>
                  <w:pPr>
                    <w:pStyle w:val="Compact"/>
                    <w:jc w:val="right"/>
                    <w:jc w:val="center"/>
                  </w:pPr>
                  <w:r>
                    <w:t xml:space="preserve">3.848909</w:t>
                  </w:r>
                </w:p>
              </w:tc>
              <w:tc>
                <w:tcPr/>
                <w:p>
                  <w:pPr>
                    <w:pStyle w:val="Compact"/>
                    <w:jc w:val="right"/>
                    <w:jc w:val="center"/>
                  </w:pPr>
                  <w:r>
                    <w:t xml:space="preserve">1.5461660</w:t>
                  </w:r>
                </w:p>
              </w:tc>
            </w:tr>
            <w:tr>
              <w:tc>
                <w:tcPr/>
                <w:p>
                  <w:pPr>
                    <w:pStyle w:val="Compact"/>
                    <w:jc w:val="left"/>
                    <w:jc w:val="center"/>
                  </w:pPr>
                  <w:r>
                    <w:t xml:space="preserve">Left Retroauricular Crease</w:t>
                  </w:r>
                </w:p>
              </w:tc>
              <w:tc>
                <w:tcPr/>
                <w:p>
                  <w:pPr>
                    <w:pStyle w:val="Compact"/>
                    <w:jc w:val="right"/>
                    <w:jc w:val="center"/>
                  </w:pPr>
                  <w:r>
                    <w:t xml:space="preserve">285</w:t>
                  </w:r>
                </w:p>
              </w:tc>
              <w:tc>
                <w:tcPr/>
                <w:p>
                  <w:pPr>
                    <w:pStyle w:val="Compact"/>
                    <w:jc w:val="right"/>
                    <w:jc w:val="center"/>
                  </w:pPr>
                  <w:r>
                    <w:t xml:space="preserve">1</w:t>
                  </w:r>
                </w:p>
              </w:tc>
              <w:tc>
                <w:tcPr/>
                <w:p>
                  <w:pPr>
                    <w:pStyle w:val="Compact"/>
                    <w:jc w:val="right"/>
                    <w:jc w:val="center"/>
                  </w:pPr>
                  <w:r>
                    <w:t xml:space="preserve">3.632808</w:t>
                  </w:r>
                </w:p>
              </w:tc>
              <w:tc>
                <w:tcPr/>
                <w:p>
                  <w:pPr>
                    <w:pStyle w:val="Compact"/>
                    <w:jc w:val="right"/>
                    <w:jc w:val="center"/>
                  </w:pPr>
                  <w:r>
                    <w:t xml:space="preserve">0.9239779</w:t>
                  </w:r>
                </w:p>
              </w:tc>
            </w:tr>
            <w:tr>
              <w:tc>
                <w:tcPr/>
                <w:p>
                  <w:pPr>
                    <w:pStyle w:val="Compact"/>
                    <w:jc w:val="left"/>
                    <w:jc w:val="center"/>
                  </w:pPr>
                  <w:r>
                    <w:t xml:space="preserve">Mid Vagina</w:t>
                  </w:r>
                </w:p>
              </w:tc>
              <w:tc>
                <w:tcPr/>
                <w:p>
                  <w:pPr>
                    <w:pStyle w:val="Compact"/>
                    <w:jc w:val="right"/>
                    <w:jc w:val="center"/>
                  </w:pPr>
                  <w:r>
                    <w:t xml:space="preserve">133</w:t>
                  </w:r>
                </w:p>
              </w:tc>
              <w:tc>
                <w:tcPr/>
                <w:p>
                  <w:pPr>
                    <w:pStyle w:val="Compact"/>
                    <w:jc w:val="right"/>
                    <w:jc w:val="center"/>
                  </w:pPr>
                  <w:r>
                    <w:t xml:space="preserve">1</w:t>
                  </w:r>
                </w:p>
              </w:tc>
              <w:tc>
                <w:tcPr/>
                <w:p>
                  <w:pPr>
                    <w:pStyle w:val="Compact"/>
                    <w:jc w:val="right"/>
                    <w:jc w:val="center"/>
                  </w:pPr>
                  <w:r>
                    <w:t xml:space="preserve">3.507213</w:t>
                  </w:r>
                </w:p>
              </w:tc>
              <w:tc>
                <w:tcPr/>
                <w:p>
                  <w:pPr>
                    <w:pStyle w:val="Compact"/>
                    <w:jc w:val="right"/>
                    <w:jc w:val="center"/>
                  </w:pPr>
                  <w:r>
                    <w:t xml:space="preserve">0.7114570</w:t>
                  </w:r>
                </w:p>
              </w:tc>
            </w:tr>
            <w:tr>
              <w:tc>
                <w:tcPr/>
                <w:p>
                  <w:pPr>
                    <w:pStyle w:val="Compact"/>
                    <w:jc w:val="left"/>
                    <w:jc w:val="center"/>
                  </w:pPr>
                  <w:r>
                    <w:t xml:space="preserve">Palatine Tonsils</w:t>
                  </w:r>
                </w:p>
              </w:tc>
              <w:tc>
                <w:tcPr/>
                <w:p>
                  <w:pPr>
                    <w:pStyle w:val="Compact"/>
                    <w:jc w:val="right"/>
                    <w:jc w:val="center"/>
                  </w:pPr>
                  <w:r>
                    <w:t xml:space="preserve">312</w:t>
                  </w:r>
                </w:p>
              </w:tc>
              <w:tc>
                <w:tcPr/>
                <w:p>
                  <w:pPr>
                    <w:pStyle w:val="Compact"/>
                    <w:jc w:val="right"/>
                    <w:jc w:val="center"/>
                  </w:pPr>
                  <w:r>
                    <w:t xml:space="preserve">1</w:t>
                  </w:r>
                </w:p>
              </w:tc>
              <w:tc>
                <w:tcPr/>
                <w:p>
                  <w:pPr>
                    <w:pStyle w:val="Compact"/>
                    <w:jc w:val="right"/>
                    <w:jc w:val="center"/>
                  </w:pPr>
                  <w:r>
                    <w:t xml:space="preserve">5.658271</w:t>
                  </w:r>
                </w:p>
              </w:tc>
              <w:tc>
                <w:tcPr/>
                <w:p>
                  <w:pPr>
                    <w:pStyle w:val="Compact"/>
                    <w:jc w:val="right"/>
                    <w:jc w:val="center"/>
                  </w:pPr>
                  <w:r>
                    <w:t xml:space="preserve">0.5904853</w:t>
                  </w:r>
                </w:p>
              </w:tc>
            </w:tr>
            <w:tr>
              <w:tc>
                <w:tcPr/>
                <w:p>
                  <w:pPr>
                    <w:pStyle w:val="Compact"/>
                    <w:jc w:val="left"/>
                    <w:jc w:val="center"/>
                  </w:pPr>
                  <w:r>
                    <w:t xml:space="preserve">Posterior Fornix</w:t>
                  </w:r>
                </w:p>
              </w:tc>
              <w:tc>
                <w:tcPr/>
                <w:p>
                  <w:pPr>
                    <w:pStyle w:val="Compact"/>
                    <w:jc w:val="right"/>
                    <w:jc w:val="center"/>
                  </w:pPr>
                  <w:r>
                    <w:t xml:space="preserve">133</w:t>
                  </w:r>
                </w:p>
              </w:tc>
              <w:tc>
                <w:tcPr/>
                <w:p>
                  <w:pPr>
                    <w:pStyle w:val="Compact"/>
                    <w:jc w:val="right"/>
                    <w:jc w:val="center"/>
                  </w:pPr>
                  <w:r>
                    <w:t xml:space="preserve">1</w:t>
                  </w:r>
                </w:p>
              </w:tc>
              <w:tc>
                <w:tcPr/>
                <w:p>
                  <w:pPr>
                    <w:pStyle w:val="Compact"/>
                    <w:jc w:val="right"/>
                    <w:jc w:val="center"/>
                  </w:pPr>
                  <w:r>
                    <w:t xml:space="preserve">3.354566</w:t>
                  </w:r>
                </w:p>
              </w:tc>
              <w:tc>
                <w:tcPr/>
                <w:p>
                  <w:pPr>
                    <w:pStyle w:val="Compact"/>
                    <w:jc w:val="right"/>
                    <w:jc w:val="center"/>
                  </w:pPr>
                  <w:r>
                    <w:t xml:space="preserve">0.7002623</w:t>
                  </w:r>
                </w:p>
              </w:tc>
            </w:tr>
            <w:tr>
              <w:tc>
                <w:tcPr/>
                <w:p>
                  <w:pPr>
                    <w:pStyle w:val="Compact"/>
                    <w:jc w:val="left"/>
                    <w:jc w:val="center"/>
                  </w:pPr>
                  <w:r>
                    <w:t xml:space="preserve">Right Antecubital Fossa</w:t>
                  </w:r>
                </w:p>
              </w:tc>
              <w:tc>
                <w:tcPr/>
                <w:p>
                  <w:pPr>
                    <w:pStyle w:val="Compact"/>
                    <w:jc w:val="right"/>
                    <w:jc w:val="center"/>
                  </w:pPr>
                  <w:r>
                    <w:t xml:space="preserve">207</w:t>
                  </w:r>
                </w:p>
              </w:tc>
              <w:tc>
                <w:tcPr/>
                <w:p>
                  <w:pPr>
                    <w:pStyle w:val="Compact"/>
                    <w:jc w:val="right"/>
                    <w:jc w:val="center"/>
                  </w:pPr>
                  <w:r>
                    <w:t xml:space="preserve">1</w:t>
                  </w:r>
                </w:p>
              </w:tc>
              <w:tc>
                <w:tcPr/>
                <w:p>
                  <w:pPr>
                    <w:pStyle w:val="Compact"/>
                    <w:jc w:val="right"/>
                    <w:jc w:val="center"/>
                  </w:pPr>
                  <w:r>
                    <w:t xml:space="preserve">3.777690</w:t>
                  </w:r>
                </w:p>
              </w:tc>
              <w:tc>
                <w:tcPr/>
                <w:p>
                  <w:pPr>
                    <w:pStyle w:val="Compact"/>
                    <w:jc w:val="right"/>
                    <w:jc w:val="center"/>
                  </w:pPr>
                  <w:r>
                    <w:t xml:space="preserve">1.4166886</w:t>
                  </w:r>
                </w:p>
              </w:tc>
            </w:tr>
            <w:tr>
              <w:tc>
                <w:tcPr/>
                <w:p>
                  <w:pPr>
                    <w:pStyle w:val="Compact"/>
                    <w:jc w:val="left"/>
                    <w:jc w:val="center"/>
                  </w:pPr>
                  <w:r>
                    <w:t xml:space="preserve">Right Retroauricular Crease</w:t>
                  </w:r>
                </w:p>
              </w:tc>
              <w:tc>
                <w:tcPr/>
                <w:p>
                  <w:pPr>
                    <w:pStyle w:val="Compact"/>
                    <w:jc w:val="right"/>
                    <w:jc w:val="center"/>
                  </w:pPr>
                  <w:r>
                    <w:t xml:space="preserve">297</w:t>
                  </w:r>
                </w:p>
              </w:tc>
              <w:tc>
                <w:tcPr/>
                <w:p>
                  <w:pPr>
                    <w:pStyle w:val="Compact"/>
                    <w:jc w:val="right"/>
                    <w:jc w:val="center"/>
                  </w:pPr>
                  <w:r>
                    <w:t xml:space="preserve">1</w:t>
                  </w:r>
                </w:p>
              </w:tc>
              <w:tc>
                <w:tcPr/>
                <w:p>
                  <w:pPr>
                    <w:pStyle w:val="Compact"/>
                    <w:jc w:val="right"/>
                    <w:jc w:val="center"/>
                  </w:pPr>
                  <w:r>
                    <w:t xml:space="preserve">3.720827</w:t>
                  </w:r>
                </w:p>
              </w:tc>
              <w:tc>
                <w:tcPr/>
                <w:p>
                  <w:pPr>
                    <w:pStyle w:val="Compact"/>
                    <w:jc w:val="right"/>
                    <w:jc w:val="center"/>
                  </w:pPr>
                  <w:r>
                    <w:t xml:space="preserve">0.8131103</w:t>
                  </w:r>
                </w:p>
              </w:tc>
            </w:tr>
            <w:tr>
              <w:tc>
                <w:tcPr/>
                <w:p>
                  <w:pPr>
                    <w:pStyle w:val="Compact"/>
                    <w:jc w:val="left"/>
                    <w:jc w:val="center"/>
                  </w:pPr>
                  <w:r>
                    <w:t xml:space="preserve">Saliva</w:t>
                  </w:r>
                </w:p>
              </w:tc>
              <w:tc>
                <w:tcPr/>
                <w:p>
                  <w:pPr>
                    <w:pStyle w:val="Compact"/>
                    <w:jc w:val="right"/>
                    <w:jc w:val="center"/>
                  </w:pPr>
                  <w:r>
                    <w:t xml:space="preserve">290</w:t>
                  </w:r>
                </w:p>
              </w:tc>
              <w:tc>
                <w:tcPr/>
                <w:p>
                  <w:pPr>
                    <w:pStyle w:val="Compact"/>
                    <w:jc w:val="right"/>
                    <w:jc w:val="center"/>
                  </w:pPr>
                  <w:r>
                    <w:t xml:space="preserve">1</w:t>
                  </w:r>
                </w:p>
              </w:tc>
              <w:tc>
                <w:tcPr/>
                <w:p>
                  <w:pPr>
                    <w:pStyle w:val="Compact"/>
                    <w:jc w:val="right"/>
                    <w:jc w:val="center"/>
                  </w:pPr>
                  <w:r>
                    <w:t xml:space="preserve">6.006401</w:t>
                  </w:r>
                </w:p>
              </w:tc>
              <w:tc>
                <w:tcPr/>
                <w:p>
                  <w:pPr>
                    <w:pStyle w:val="Compact"/>
                    <w:jc w:val="right"/>
                    <w:jc w:val="center"/>
                  </w:pPr>
                  <w:r>
                    <w:t xml:space="preserve">0.4902087</w:t>
                  </w:r>
                </w:p>
              </w:tc>
            </w:tr>
            <w:tr>
              <w:tc>
                <w:tcPr/>
                <w:p>
                  <w:pPr>
                    <w:pStyle w:val="Compact"/>
                    <w:jc w:val="left"/>
                    <w:jc w:val="center"/>
                  </w:pPr>
                  <w:r>
                    <w:t xml:space="preserve">Stool</w:t>
                  </w:r>
                </w:p>
              </w:tc>
              <w:tc>
                <w:tcPr/>
                <w:p>
                  <w:pPr>
                    <w:pStyle w:val="Compact"/>
                    <w:jc w:val="right"/>
                    <w:jc w:val="center"/>
                  </w:pPr>
                  <w:r>
                    <w:t xml:space="preserve">319</w:t>
                  </w:r>
                </w:p>
              </w:tc>
              <w:tc>
                <w:tcPr/>
                <w:p>
                  <w:pPr>
                    <w:pStyle w:val="Compact"/>
                    <w:jc w:val="right"/>
                    <w:jc w:val="center"/>
                  </w:pPr>
                  <w:r>
                    <w:t xml:space="preserve">1</w:t>
                  </w:r>
                </w:p>
              </w:tc>
              <w:tc>
                <w:tcPr/>
                <w:p>
                  <w:pPr>
                    <w:pStyle w:val="Compact"/>
                    <w:jc w:val="right"/>
                    <w:jc w:val="center"/>
                  </w:pPr>
                  <w:r>
                    <w:t xml:space="preserve">5.528866</w:t>
                  </w:r>
                </w:p>
              </w:tc>
              <w:tc>
                <w:tcPr/>
                <w:p>
                  <w:pPr>
                    <w:pStyle w:val="Compact"/>
                    <w:jc w:val="right"/>
                    <w:jc w:val="center"/>
                  </w:pPr>
                  <w:r>
                    <w:t xml:space="preserve">0.4893080</w:t>
                  </w:r>
                </w:p>
              </w:tc>
            </w:tr>
            <w:tr>
              <w:tc>
                <w:tcPr/>
                <w:p>
                  <w:pPr>
                    <w:pStyle w:val="Compact"/>
                    <w:jc w:val="left"/>
                    <w:jc w:val="center"/>
                  </w:pPr>
                  <w:r>
                    <w:t xml:space="preserve">Subgingival Plaque</w:t>
                  </w:r>
                </w:p>
              </w:tc>
              <w:tc>
                <w:tcPr/>
                <w:p>
                  <w:pPr>
                    <w:pStyle w:val="Compact"/>
                    <w:jc w:val="right"/>
                    <w:jc w:val="center"/>
                  </w:pPr>
                  <w:r>
                    <w:t xml:space="preserve">309</w:t>
                  </w:r>
                </w:p>
              </w:tc>
              <w:tc>
                <w:tcPr/>
                <w:p>
                  <w:pPr>
                    <w:pStyle w:val="Compact"/>
                    <w:jc w:val="right"/>
                    <w:jc w:val="center"/>
                  </w:pPr>
                  <w:r>
                    <w:t xml:space="preserve">1</w:t>
                  </w:r>
                </w:p>
              </w:tc>
              <w:tc>
                <w:tcPr/>
                <w:p>
                  <w:pPr>
                    <w:pStyle w:val="Compact"/>
                    <w:jc w:val="right"/>
                    <w:jc w:val="center"/>
                  </w:pPr>
                  <w:r>
                    <w:t xml:space="preserve">5.878620</w:t>
                  </w:r>
                </w:p>
              </w:tc>
              <w:tc>
                <w:tcPr/>
                <w:p>
                  <w:pPr>
                    <w:pStyle w:val="Compact"/>
                    <w:jc w:val="right"/>
                    <w:jc w:val="center"/>
                  </w:pPr>
                  <w:r>
                    <w:t xml:space="preserve">0.5504130</w:t>
                  </w:r>
                </w:p>
              </w:tc>
            </w:tr>
            <w:tr>
              <w:tc>
                <w:tcPr/>
                <w:p>
                  <w:pPr>
                    <w:pStyle w:val="Compact"/>
                    <w:jc w:val="left"/>
                    <w:jc w:val="center"/>
                  </w:pPr>
                  <w:r>
                    <w:t xml:space="preserve">Supragingival Plaque</w:t>
                  </w:r>
                </w:p>
              </w:tc>
              <w:tc>
                <w:tcPr/>
                <w:p>
                  <w:pPr>
                    <w:pStyle w:val="Compact"/>
                    <w:jc w:val="right"/>
                    <w:jc w:val="center"/>
                  </w:pPr>
                  <w:r>
                    <w:t xml:space="preserve">313</w:t>
                  </w:r>
                </w:p>
              </w:tc>
              <w:tc>
                <w:tcPr/>
                <w:p>
                  <w:pPr>
                    <w:pStyle w:val="Compact"/>
                    <w:jc w:val="right"/>
                    <w:jc w:val="center"/>
                  </w:pPr>
                  <w:r>
                    <w:t xml:space="preserve">1</w:t>
                  </w:r>
                </w:p>
              </w:tc>
              <w:tc>
                <w:tcPr/>
                <w:p>
                  <w:pPr>
                    <w:pStyle w:val="Compact"/>
                    <w:jc w:val="right"/>
                    <w:jc w:val="center"/>
                  </w:pPr>
                  <w:r>
                    <w:t xml:space="preserve">5.848824</w:t>
                  </w:r>
                </w:p>
              </w:tc>
              <w:tc>
                <w:tcPr/>
                <w:p>
                  <w:pPr>
                    <w:pStyle w:val="Compact"/>
                    <w:jc w:val="right"/>
                    <w:jc w:val="center"/>
                  </w:pPr>
                  <w:r>
                    <w:t xml:space="preserve">0.4947012</w:t>
                  </w:r>
                </w:p>
              </w:tc>
            </w:tr>
            <w:tr>
              <w:tc>
                <w:tcPr/>
                <w:p>
                  <w:pPr>
                    <w:pStyle w:val="Compact"/>
                    <w:jc w:val="left"/>
                    <w:jc w:val="center"/>
                  </w:pPr>
                  <w:r>
                    <w:t xml:space="preserve">Throat</w:t>
                  </w:r>
                </w:p>
              </w:tc>
              <w:tc>
                <w:tcPr/>
                <w:p>
                  <w:pPr>
                    <w:pStyle w:val="Compact"/>
                    <w:jc w:val="right"/>
                    <w:jc w:val="center"/>
                  </w:pPr>
                  <w:r>
                    <w:t xml:space="preserve">307</w:t>
                  </w:r>
                </w:p>
              </w:tc>
              <w:tc>
                <w:tcPr/>
                <w:p>
                  <w:pPr>
                    <w:pStyle w:val="Compact"/>
                    <w:jc w:val="right"/>
                    <w:jc w:val="center"/>
                  </w:pPr>
                  <w:r>
                    <w:t xml:space="preserve">1</w:t>
                  </w:r>
                </w:p>
              </w:tc>
              <w:tc>
                <w:tcPr/>
                <w:p>
                  <w:pPr>
                    <w:pStyle w:val="Compact"/>
                    <w:jc w:val="right"/>
                    <w:jc w:val="center"/>
                  </w:pPr>
                  <w:r>
                    <w:t xml:space="preserve">5.537592</w:t>
                  </w:r>
                </w:p>
              </w:tc>
              <w:tc>
                <w:tcPr/>
                <w:p>
                  <w:pPr>
                    <w:pStyle w:val="Compact"/>
                    <w:jc w:val="right"/>
                    <w:jc w:val="center"/>
                  </w:pPr>
                  <w:r>
                    <w:t xml:space="preserve">0.7611261</w:t>
                  </w:r>
                </w:p>
              </w:tc>
            </w:tr>
            <w:tr>
              <w:tc>
                <w:tcPr/>
                <w:p>
                  <w:pPr>
                    <w:pStyle w:val="Compact"/>
                    <w:jc w:val="left"/>
                    <w:jc w:val="center"/>
                  </w:pPr>
                  <w:r>
                    <w:t xml:space="preserve">Tongue Dorsum</w:t>
                  </w:r>
                </w:p>
              </w:tc>
              <w:tc>
                <w:tcPr/>
                <w:p>
                  <w:pPr>
                    <w:pStyle w:val="Compact"/>
                    <w:jc w:val="right"/>
                    <w:jc w:val="center"/>
                  </w:pPr>
                  <w:r>
                    <w:t xml:space="preserve">316</w:t>
                  </w:r>
                </w:p>
              </w:tc>
              <w:tc>
                <w:tcPr/>
                <w:p>
                  <w:pPr>
                    <w:pStyle w:val="Compact"/>
                    <w:jc w:val="right"/>
                    <w:jc w:val="center"/>
                  </w:pPr>
                  <w:r>
                    <w:t xml:space="preserve">1</w:t>
                  </w:r>
                </w:p>
              </w:tc>
              <w:tc>
                <w:tcPr/>
                <w:p>
                  <w:pPr>
                    <w:pStyle w:val="Compact"/>
                    <w:jc w:val="right"/>
                    <w:jc w:val="center"/>
                  </w:pPr>
                  <w:r>
                    <w:t xml:space="preserve">5.498167</w:t>
                  </w:r>
                </w:p>
              </w:tc>
              <w:tc>
                <w:tcPr/>
                <w:p>
                  <w:pPr>
                    <w:pStyle w:val="Compact"/>
                    <w:jc w:val="right"/>
                    <w:jc w:val="center"/>
                  </w:pPr>
                  <w:r>
                    <w:t xml:space="preserve">0.4704104</w:t>
                  </w:r>
                </w:p>
              </w:tc>
            </w:tr>
            <w:tr>
              <w:tc>
                <w:tcPr/>
                <w:p>
                  <w:pPr>
                    <w:pStyle w:val="Compact"/>
                    <w:jc w:val="left"/>
                    <w:jc w:val="center"/>
                  </w:pPr>
                  <w:r>
                    <w:t xml:space="preserve">Vaginal Introitus</w:t>
                  </w:r>
                </w:p>
              </w:tc>
              <w:tc>
                <w:tcPr/>
                <w:p>
                  <w:pPr>
                    <w:pStyle w:val="Compact"/>
                    <w:jc w:val="right"/>
                    <w:jc w:val="center"/>
                  </w:pPr>
                  <w:r>
                    <w:t xml:space="preserve">125</w:t>
                  </w:r>
                </w:p>
              </w:tc>
              <w:tc>
                <w:tcPr/>
                <w:p>
                  <w:pPr>
                    <w:pStyle w:val="Compact"/>
                    <w:jc w:val="right"/>
                    <w:jc w:val="center"/>
                  </w:pPr>
                  <w:r>
                    <w:t xml:space="preserve">1</w:t>
                  </w:r>
                </w:p>
              </w:tc>
              <w:tc>
                <w:tcPr/>
                <w:p>
                  <w:pPr>
                    <w:pStyle w:val="Compact"/>
                    <w:jc w:val="right"/>
                    <w:jc w:val="center"/>
                  </w:pPr>
                  <w:r>
                    <w:t xml:space="preserve">3.686701</w:t>
                  </w:r>
                </w:p>
              </w:tc>
              <w:tc>
                <w:tcPr/>
                <w:p>
                  <w:pPr>
                    <w:pStyle w:val="Compact"/>
                    <w:jc w:val="right"/>
                    <w:jc w:val="center"/>
                  </w:pPr>
                  <w:r>
                    <w:t xml:space="preserve">0.7645409</w:t>
                  </w:r>
                </w:p>
              </w:tc>
            </w:tr>
          </w:tbl>
          <w:bookmarkEnd w:id="34"/>
          <w:p/>
        </w:tc>
      </w:tr>
    </w:tbl>
    <w:bookmarkEnd w:id="35"/>
    <w:bookmarkStart w:id="48" w:name="basic-statistical-analysis"/>
    <w:p>
      <w:pPr>
        <w:pStyle w:val="Heading2"/>
      </w:pPr>
      <w:r>
        <w:t xml:space="preserve">4.2 Basic statistical analysis</w:t>
      </w:r>
    </w:p>
    <w:tbl>
      <w:tblPr>
        <w:tblStyle w:val="Table"/>
        <w:tblW w:type="pct" w:w="5000"/>
        <w:tblLayout w:type="fixed"/>
        <w:tblLook w:firstRow="0" w:lastRow="0" w:firstColumn="0" w:lastColumn="0" w:noHBand="0" w:noVBand="0" w:val="0000"/>
      </w:tblPr>
      <w:tblGrid>
        <w:gridCol w:w="7920"/>
      </w:tblGrid>
      <w:tr>
        <w:tc>
          <w:tcPr/>
          <w:bookmarkStart w:id="39" w:name="fig-seq-depth"/>
          <w:p>
            <w:pPr>
              <w:pStyle w:val="Compact"/>
              <w:jc w:val="center"/>
            </w:pPr>
            <w:r>
              <w:drawing>
                <wp:inline>
                  <wp:extent cx="5334000" cy="3556000"/>
                  <wp:effectExtent b="0" l="0" r="0" t="0"/>
                  <wp:docPr descr="" title="" id="37" name="Picture"/>
                  <a:graphic>
                    <a:graphicData uri="http://schemas.openxmlformats.org/drawingml/2006/picture">
                      <pic:pic>
                        <pic:nvPicPr>
                          <pic:cNvPr descr="../../results/figures/seq_depth.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Sequencing depth distribution across samples.</w:t>
            </w:r>
          </w:p>
          <w:bookmarkEnd w:id="39"/>
        </w:tc>
      </w:tr>
    </w:tbl>
    <w:tbl>
      <w:tblPr>
        <w:tblStyle w:val="Table"/>
        <w:tblW w:type="pct" w:w="5000"/>
        <w:tblLayout w:type="fixed"/>
        <w:tblLook w:firstRow="0" w:lastRow="0" w:firstColumn="0" w:lastColumn="0" w:noHBand="0" w:noVBand="0" w:val="0000"/>
      </w:tblPr>
      <w:tblGrid>
        <w:gridCol w:w="7920"/>
      </w:tblGrid>
      <w:tr>
        <w:tc>
          <w:tcPr/>
          <w:bookmarkStart w:id="43" w:name="fig-top-phyla"/>
          <w:p>
            <w:pPr>
              <w:pStyle w:val="Compact"/>
              <w:jc w:val="center"/>
            </w:pPr>
            <w:r>
              <w:drawing>
                <wp:inline>
                  <wp:extent cx="5334000" cy="2667000"/>
                  <wp:effectExtent b="0" l="0" r="0" t="0"/>
                  <wp:docPr descr="" title="" id="41" name="Picture"/>
                  <a:graphic>
                    <a:graphicData uri="http://schemas.openxmlformats.org/drawingml/2006/picture">
                      <pic:pic>
                        <pic:nvPicPr>
                          <pic:cNvPr descr="../../results/figures/top_phyla.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Relative abundance of the top 10 phyla across samples (stacked bar plot).</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shannon"/>
          <w:p>
            <w:pPr>
              <w:pStyle w:val="Compact"/>
              <w:jc w:val="center"/>
            </w:pPr>
            <w:r>
              <w:drawing>
                <wp:inline>
                  <wp:extent cx="5334000" cy="3048000"/>
                  <wp:effectExtent b="0" l="0" r="0" t="0"/>
                  <wp:docPr descr="" title="" id="45" name="Picture"/>
                  <a:graphic>
                    <a:graphicData uri="http://schemas.openxmlformats.org/drawingml/2006/picture">
                      <pic:pic>
                        <pic:nvPicPr>
                          <pic:cNvPr descr="../../results/figures/shannon_boxplot.png" id="46" name="Picture"/>
                          <pic:cNvPicPr>
                            <a:picLocks noChangeArrowheads="1" noChangeAspect="1"/>
                          </pic:cNvPicPr>
                        </pic:nvPicPr>
                        <pic:blipFill>
                          <a:blip r:embed="rId4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Shannon alpha diversity by body subsite.</w:t>
            </w:r>
          </w:p>
          <w:bookmarkEnd w:id="47"/>
        </w:tc>
      </w:tr>
    </w:tbl>
    <w:bookmarkEnd w:id="48"/>
    <w:bookmarkStart w:id="49"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r>
        <w:rPr>
          <w:b/>
          <w:bCs/>
        </w:rPr>
        <w:t xml:space="preserve">?@tbl-resulttable2</w:t>
      </w:r>
      <w:r>
        <w:t xml:space="preserve"> </w:t>
      </w:r>
      <w:r>
        <w:t xml:space="preserve">shows a summary of a linear model fit.</w:t>
      </w:r>
    </w:p>
    <w:p>
      <w:r>
        <w:br w:type="page"/>
      </w:r>
    </w:p>
    <w:bookmarkEnd w:id="49"/>
    <w:bookmarkEnd w:id="50"/>
    <w:bookmarkStart w:id="55" w:name="discussion"/>
    <w:p>
      <w:pPr>
        <w:pStyle w:val="Heading1"/>
      </w:pPr>
      <w:r>
        <w:t xml:space="preserve">5. Discussion</w:t>
      </w:r>
    </w:p>
    <w:bookmarkStart w:id="51"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51"/>
    <w:bookmarkStart w:id="52"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52"/>
    <w:bookmarkStart w:id="54"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53">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54"/>
    <w:bookmarkEnd w:id="55"/>
    <w:bookmarkStart w:id="63" w:name="references"/>
    <w:p>
      <w:pPr>
        <w:pStyle w:val="Heading1"/>
      </w:pPr>
      <w:r>
        <w:t xml:space="preserve">6. References</w:t>
      </w:r>
    </w:p>
    <w:bookmarkStart w:id="62" w:name="refs"/>
    <w:bookmarkStart w:id="57" w:name="ref-mckay2020"/>
    <w:p>
      <w:pPr>
        <w:pStyle w:val="Bibliography"/>
      </w:pPr>
      <w:r>
        <w:t xml:space="preserve">1.</w:t>
      </w:r>
      <w:r>
        <w:t xml:space="preserve"> </w:t>
      </w:r>
      <w:r>
        <w:t xml:space="preserve">	</w:t>
      </w:r>
      <w:r>
        <w:t xml:space="preserve">McKay B, Ebell M, Billings WZ, et al.</w:t>
      </w:r>
      <w:r>
        <w:t xml:space="preserve"> </w:t>
      </w:r>
      <w:hyperlink r:id="rId56">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57"/>
    <w:bookmarkStart w:id="59" w:name="ref-mckay2020a"/>
    <w:p>
      <w:pPr>
        <w:pStyle w:val="Bibliography"/>
      </w:pPr>
      <w:r>
        <w:t xml:space="preserve">2.</w:t>
      </w:r>
      <w:r>
        <w:t xml:space="preserve"> </w:t>
      </w:r>
      <w:r>
        <w:t xml:space="preserve">	</w:t>
      </w:r>
      <w:r>
        <w:t xml:space="preserve">McKay B, Ebell M, Dale AP, et al.</w:t>
      </w:r>
      <w:r>
        <w:t xml:space="preserve"> </w:t>
      </w:r>
      <w:hyperlink r:id="rId58">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59"/>
    <w:bookmarkStart w:id="61" w:name="ref-leek2015"/>
    <w:p>
      <w:pPr>
        <w:pStyle w:val="Bibliography"/>
      </w:pPr>
      <w:r>
        <w:t xml:space="preserve">3.</w:t>
      </w:r>
      <w:r>
        <w:t xml:space="preserve"> </w:t>
      </w:r>
      <w:r>
        <w:t xml:space="preserve">	</w:t>
      </w:r>
      <w:r>
        <w:t xml:space="preserve">Leek JT, Peng RD.</w:t>
      </w:r>
      <w:r>
        <w:t xml:space="preserve"> </w:t>
      </w:r>
      <w:hyperlink r:id="rId60">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hyperlink" Id="rId56" Target="https://doi.org/10.1093/ofid/ofaa494" TargetMode="External" /><Relationship Type="http://schemas.openxmlformats.org/officeDocument/2006/relationships/hyperlink" Id="rId58" Target="https://doi.org/10.1098/rspb.2020.0496" TargetMode="External" /><Relationship Type="http://schemas.openxmlformats.org/officeDocument/2006/relationships/hyperlink" Id="rId60" Target="https://doi.org/10.1126/science.aaa6146" TargetMode="External" /><Relationship Type="http://schemas.openxmlformats.org/officeDocument/2006/relationships/hyperlink" Id="rId53"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93/ofid/ofaa494" TargetMode="External" /><Relationship Type="http://schemas.openxmlformats.org/officeDocument/2006/relationships/hyperlink" Id="rId58" Target="https://doi.org/10.1098/rspb.2020.0496" TargetMode="External" /><Relationship Type="http://schemas.openxmlformats.org/officeDocument/2006/relationships/hyperlink" Id="rId60" Target="https://doi.org/10.1126/science.aaa6146" TargetMode="External" /><Relationship Type="http://schemas.openxmlformats.org/officeDocument/2006/relationships/hyperlink" Id="rId53"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Kexin Cui</dc:creator>
  <cp:keywords/>
  <dcterms:created xsi:type="dcterms:W3CDTF">2026-03-02T22:36:03Z</dcterms:created>
  <dcterms:modified xsi:type="dcterms:W3CDTF">2026-03-02T22:36:03Z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