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50.png" ContentType="image/png"/>
  <Override PartName="/word/media/rId62.png" ContentType="image/png"/>
  <Override PartName="/word/media/rId56.png" ContentType="image/png"/>
  <Override PartName="/word/media/rId4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Microbial Diversity and Co-Occurrence Networks Across Five Major Body Sites in the Human Microbiome Project</w:t>
      </w:r>
    </w:p>
    <w:p>
      <w:pPr>
        <w:pStyle w:val="Author"/>
      </w:pPr>
      <w:r>
        <w:t xml:space="preserve">Kexin Cui</w:t>
      </w:r>
    </w:p>
    <w:p>
      <w:pPr>
        <w:pStyle w:val="Date"/>
      </w:pPr>
      <w:r>
        <w:t xml:space="preserve">2026-04-21</w:t>
      </w:r>
    </w:p>
    <w:bookmarkStart w:id="20" w:name="summary-abstract"/>
    <w:p>
      <w:pPr>
        <w:pStyle w:val="Heading1"/>
      </w:pPr>
      <w:r>
        <w:t xml:space="preserve">Summary / 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Human-associated microbial communities vary strongly by body</w:t>
      </w:r>
      <w:r>
        <w:t xml:space="preserve"> </w:t>
      </w:r>
      <w:r>
        <w:t xml:space="preserve">site, and characterizing this variation is an important first step for any</w:t>
      </w:r>
      <w:r>
        <w:t xml:space="preserve"> </w:t>
      </w:r>
      <w:r>
        <w:t xml:space="preserve">clinical or ecological application of microbiome data.</w:t>
      </w:r>
      <w:r>
        <w:t xml:space="preserve"> </w:t>
      </w:r>
      <w:r>
        <w:rPr>
          <w:b/>
          <w:bCs/>
        </w:rPr>
        <w:t xml:space="preserve">Methods.</w:t>
      </w:r>
      <w:r>
        <w:t xml:space="preserve"> </w:t>
      </w:r>
      <w:r>
        <w:t xml:space="preserve">Using</w:t>
      </w:r>
      <w:r>
        <w:t xml:space="preserve"> </w:t>
      </w:r>
      <w:r>
        <w:t xml:space="preserve">16S rRNA V3–V5 data from the Human Microbiome Project (HMP), accessed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HMP16SData</w:t>
      </w:r>
      <w:r>
        <w:t xml:space="preserve"> </w:t>
      </w:r>
      <w:r>
        <w:t xml:space="preserve">Bioconductor package, we compiled a balanced dataset of up to</w:t>
      </w:r>
      <w:r>
        <w:t xml:space="preserve"> </w:t>
      </w:r>
      <w:r>
        <w:t xml:space="preserve">200 samples from each of five major body sites (Airways, Gut, Oral, Skin,</w:t>
      </w:r>
      <w:r>
        <w:t xml:space="preserve"> </w:t>
      </w:r>
      <w:r>
        <w:t xml:space="preserve">Urogenital). After prevalence filtering and rarefaction to an even sequencing</w:t>
      </w:r>
      <w:r>
        <w:t xml:space="preserve"> </w:t>
      </w:r>
      <w:r>
        <w:t xml:space="preserve">depth, we tested whether (H1) alpha diversity, (H2) beta diversity /</w:t>
      </w:r>
      <w:r>
        <w:t xml:space="preserve"> </w:t>
      </w:r>
      <w:r>
        <w:t xml:space="preserve">community clustering, and (H3) microbial co-occurrence network structure</w:t>
      </w:r>
      <w:r>
        <w:t xml:space="preserve"> </w:t>
      </w:r>
      <w:r>
        <w:t xml:space="preserve">differ by body site. We used Kruskal-Wallis with Benjamini-Hochberg pairwise</w:t>
      </w:r>
      <w:r>
        <w:t xml:space="preserve"> </w:t>
      </w:r>
      <w:r>
        <w:t xml:space="preserve">Wilcoxon follow-up tests for alpha diversity; Bray-Curtis and Jaccard</w:t>
      </w:r>
      <w:r>
        <w:t xml:space="preserve"> </w:t>
      </w:r>
      <w:r>
        <w:t xml:space="preserve">PERMANOVA with BETADISPER for community composition; and per-site Spearman</w:t>
      </w:r>
      <w:r>
        <w:t xml:space="preserve"> </w:t>
      </w:r>
      <w:r>
        <w:t xml:space="preserve">correlation networks with Louvain community detection for network structure.</w:t>
      </w:r>
      <w:r>
        <w:t xml:space="preserve"> </w:t>
      </w:r>
      <w:r>
        <w:rPr>
          <w:b/>
          <w:bCs/>
        </w:rPr>
        <w:t xml:space="preserve">Results.</w:t>
      </w:r>
      <w:r>
        <w:t xml:space="preserve"> </w:t>
      </w:r>
      <w:r>
        <w:t xml:space="preserve">Alpha diversity, community composition and co-occurrence network</w:t>
      </w:r>
      <w:r>
        <w:t xml:space="preserve"> </w:t>
      </w:r>
      <w:r>
        <w:t xml:space="preserve">topology all differed significantly across body sites (all global tests</w:t>
      </w:r>
      <w:r>
        <w:t xml:space="preserve"> </w:t>
      </w:r>
      <w:r>
        <w:t xml:space="preserve">p &lt; 0.001). Body-site identity explained a large share of beta-diversity</w:t>
      </w:r>
      <w:r>
        <w:t xml:space="preserve"> </w:t>
      </w:r>
      <w:r>
        <w:t xml:space="preserve">variation (Bray-Curtis PERMANOVA R² ≈ 0.3–0.5 in our balanced sample) and</w:t>
      </w:r>
      <w:r>
        <w:t xml:space="preserve"> </w:t>
      </w:r>
      <w:r>
        <w:t xml:space="preserve">samples separated clearly in PCoA space. Per-site networks differed in size,</w:t>
      </w:r>
      <w:r>
        <w:t xml:space="preserve"> </w:t>
      </w:r>
      <w:r>
        <w:t xml:space="preserve">density, modularity and community count, consistent with body-site-specific</w:t>
      </w:r>
      <w:r>
        <w:t xml:space="preserve"> </w:t>
      </w:r>
      <w:r>
        <w:t xml:space="preserve">microbial ecology.</w:t>
      </w:r>
      <w:r>
        <w:t xml:space="preserve"> </w:t>
      </w:r>
      <w:r>
        <w:rPr>
          <w:b/>
          <w:bCs/>
        </w:rPr>
        <w:t xml:space="preserve">Discussion.</w:t>
      </w:r>
      <w:r>
        <w:t xml:space="preserve"> </w:t>
      </w:r>
      <w:r>
        <w:t xml:space="preserve">The analyses confirm and extend prior</w:t>
      </w:r>
      <w:r>
        <w:t xml:space="preserve"> </w:t>
      </w:r>
      <w:r>
        <w:t xml:space="preserve">observations from the HMP: body site is the dominant organizing axis of</w:t>
      </w:r>
      <w:r>
        <w:t xml:space="preserve"> </w:t>
      </w:r>
      <w:r>
        <w:t xml:space="preserve">variation in this dataset, and network-level descriptors add information not</w:t>
      </w:r>
      <w:r>
        <w:t xml:space="preserve"> </w:t>
      </w:r>
      <w:r>
        <w:t xml:space="preserve">captured by diversity metrics alone. The workflow is fully reproducible from</w:t>
      </w:r>
      <w:r>
        <w:t xml:space="preserve"> </w:t>
      </w:r>
      <w:r>
        <w:t xml:space="preserve">programmatically downloaded HMP data.</w:t>
      </w:r>
    </w:p>
    <w:p>
      <w:r>
        <w:br w:type="page"/>
      </w:r>
    </w:p>
    <w:bookmarkEnd w:id="20"/>
    <w:bookmarkStart w:id="24" w:name="introduction"/>
    <w:p>
      <w:pPr>
        <w:pStyle w:val="Heading1"/>
      </w:pPr>
      <w:r>
        <w:t xml:space="preserve">Introduction</w:t>
      </w:r>
    </w:p>
    <w:bookmarkStart w:id="21" w:name="general-background"/>
    <w:p>
      <w:pPr>
        <w:pStyle w:val="Heading2"/>
      </w:pPr>
      <w:r>
        <w:t xml:space="preserve">General background</w:t>
      </w:r>
    </w:p>
    <w:p>
      <w:pPr>
        <w:pStyle w:val="FirstParagraph"/>
      </w:pPr>
      <w:r>
        <w:t xml:space="preserve">Host-associated microbial communities shape human biology in ways that range</w:t>
      </w:r>
      <w:r>
        <w:t xml:space="preserve"> </w:t>
      </w:r>
      <w:r>
        <w:t xml:space="preserve">from immune development to metabolic function, and 16S rRNA amplicon</w:t>
      </w:r>
      <w:r>
        <w:t xml:space="preserve"> </w:t>
      </w:r>
      <w:r>
        <w:t xml:space="preserve">sequencing remains the workhorse for describing community structure at</w:t>
      </w:r>
      <w:r>
        <w:t xml:space="preserve"> </w:t>
      </w:r>
      <w:r>
        <w:t xml:space="preserve">population scale</w:t>
      </w:r>
      <w:r>
        <w:t xml:space="preserve"> </w:t>
      </w:r>
      <w:r>
        <w:t xml:space="preserve">(1)</w:t>
      </w:r>
      <w:r>
        <w:t xml:space="preserve">. The Human Microbiome Project (HMP) produced one</w:t>
      </w:r>
      <w:r>
        <w:t xml:space="preserve"> </w:t>
      </w:r>
      <w:r>
        <w:t xml:space="preserve">of the first large, standardized surveys of 16S data across many body sites</w:t>
      </w:r>
      <w:r>
        <w:t xml:space="preserve"> </w:t>
      </w:r>
      <w:r>
        <w:t xml:space="preserve">in healthy adults</w:t>
      </w:r>
      <w:r>
        <w:t xml:space="preserve"> </w:t>
      </w:r>
      <w:r>
        <w:t xml:space="preserve">(2)</w:t>
      </w:r>
      <w:r>
        <w:t xml:space="preserve">, and its observations — that body site is the</w:t>
      </w:r>
      <w:r>
        <w:t xml:space="preserve"> </w:t>
      </w:r>
      <w:r>
        <w:t xml:space="preserve">dominant source of variation in community composition — now underpin most</w:t>
      </w:r>
      <w:r>
        <w:t xml:space="preserve"> </w:t>
      </w:r>
      <w:r>
        <w:t xml:space="preserve">downstream studies. Standard Bioconductor workflows for 16S data are</w:t>
      </w:r>
      <w:r>
        <w:t xml:space="preserve"> </w:t>
      </w:r>
      <w:r>
        <w:t xml:space="preserve">described in detail by</w:t>
      </w:r>
      <w:r>
        <w:t xml:space="preserve"> </w:t>
      </w:r>
      <w:r>
        <w:t xml:space="preserve">(3)</w:t>
      </w:r>
      <w:r>
        <w:t xml:space="preserve">.</w:t>
      </w:r>
    </w:p>
    <w:p>
      <w:pPr>
        <w:pStyle w:val="BodyText"/>
      </w:pPr>
      <w:r>
        <w:t xml:space="preserve">However, most community summaries used in microbiome papers (alpha diversity,</w:t>
      </w:r>
      <w:r>
        <w:t xml:space="preserve"> </w:t>
      </w:r>
      <w:r>
        <w:t xml:space="preserve">PCoA on Bray-Curtis distance) describe</w:t>
      </w:r>
      <w:r>
        <w:t xml:space="preserve"> </w:t>
      </w:r>
      <w:r>
        <w:rPr>
          <w:i/>
          <w:iCs/>
        </w:rPr>
        <w:t xml:space="preserve">what is there</w:t>
      </w:r>
      <w:r>
        <w:t xml:space="preserve">, not</w:t>
      </w:r>
      <w:r>
        <w:t xml:space="preserve"> </w:t>
      </w:r>
      <w:r>
        <w:rPr>
          <w:i/>
          <w:iCs/>
        </w:rPr>
        <w:t xml:space="preserve">how taxa relate</w:t>
      </w:r>
      <w:r>
        <w:rPr>
          <w:i/>
          <w:iCs/>
        </w:rPr>
        <w:t xml:space="preserve"> </w:t>
      </w:r>
      <w:r>
        <w:rPr>
          <w:i/>
          <w:iCs/>
        </w:rPr>
        <w:t xml:space="preserve">to each other</w:t>
      </w:r>
      <w:r>
        <w:t xml:space="preserve">. Co-occurrence networks built from taxon–taxon correlations</w:t>
      </w:r>
      <w:r>
        <w:t xml:space="preserve"> </w:t>
      </w:r>
      <w:r>
        <w:t xml:space="preserve">complement these views by describing community topology: which taxa co-vary</w:t>
      </w:r>
      <w:r>
        <w:t xml:space="preserve"> </w:t>
      </w:r>
      <w:r>
        <w:t xml:space="preserve">across samples, how modular the community is, and which taxa serve as hubs.</w:t>
      </w:r>
      <w:r>
        <w:t xml:space="preserve"> </w:t>
      </w:r>
      <w:r>
        <w:t xml:space="preserve">Comparing networks across body sites is therefore a useful sanity check for</w:t>
      </w:r>
      <w:r>
        <w:t xml:space="preserve"> </w:t>
      </w:r>
      <w:r>
        <w:t xml:space="preserve">site-specific ecology and also a methodological exercise relevant to the</w:t>
      </w:r>
      <w:r>
        <w:t xml:space="preserve"> </w:t>
      </w:r>
      <w:r>
        <w:t xml:space="preserve">Modern Applied Data Science course</w:t>
      </w:r>
      <w:r>
        <w:t xml:space="preserve"> </w:t>
      </w:r>
      <w:r>
        <w:t xml:space="preserve">(4,5)</w:t>
      </w:r>
      <w:r>
        <w:t xml:space="preserve">.</w:t>
      </w:r>
    </w:p>
    <w:bookmarkEnd w:id="21"/>
    <w:bookmarkStart w:id="22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We use the HMP 16S rRNA V3–V5 dataset</w:t>
      </w:r>
      <w:r>
        <w:t xml:space="preserve"> </w:t>
      </w:r>
      <w:r>
        <w:t xml:space="preserve">(2)</w:t>
      </w:r>
      <w:r>
        <w:t xml:space="preserve">, obtained programmatically</w:t>
      </w:r>
      <w:r>
        <w:t xml:space="preserve"> </w:t>
      </w:r>
      <w:r>
        <w:t xml:space="preserve">from the Bioconductor package</w:t>
      </w:r>
      <w:r>
        <w:t xml:space="preserve"> </w:t>
      </w:r>
      <w:r>
        <w:rPr>
          <w:rStyle w:val="VerbatimChar"/>
        </w:rPr>
        <w:t xml:space="preserve">HMP16SData</w:t>
      </w:r>
      <w:r>
        <w:t xml:space="preserve"> </w:t>
      </w:r>
      <w:r>
        <w:t xml:space="preserve">(6)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V35()</w:t>
      </w:r>
      <w:r>
        <w:t xml:space="preserve"> </w:t>
      </w:r>
      <w:r>
        <w:t xml:space="preserve">function,</w:t>
      </w:r>
      <w:r>
        <w:t xml:space="preserve"> </w:t>
      </w:r>
      <w:r>
        <w:t xml:space="preserve">which returns a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 </w:t>
      </w:r>
      <w:r>
        <w:t xml:space="preserve">object containing (a) a count matrix</w:t>
      </w:r>
      <w:r>
        <w:t xml:space="preserve"> </w:t>
      </w:r>
      <w:r>
        <w:t xml:space="preserve">of microbial features × samples, (b) a taxonomy table, and (c) sample</w:t>
      </w:r>
      <w:r>
        <w:t xml:space="preserve"> </w:t>
      </w:r>
      <w:r>
        <w:t xml:space="preserve">metadata including the</w:t>
      </w:r>
      <w:r>
        <w:t xml:space="preserve"> </w:t>
      </w:r>
      <w:r>
        <w:rPr>
          <w:rStyle w:val="VerbatimChar"/>
        </w:rPr>
        <w:t xml:space="preserve">HMP_BODY_SITE</w:t>
      </w:r>
      <w:r>
        <w:t xml:space="preserve"> </w:t>
      </w:r>
      <w:r>
        <w:t xml:space="preserve">variable. The unit of observation is</w:t>
      </w:r>
      <w:r>
        <w:t xml:space="preserve"> </w:t>
      </w:r>
      <w:r>
        <w:t xml:space="preserve">an individual sample; the number of microbial features greatly exceeds the</w:t>
      </w:r>
      <w:r>
        <w:t xml:space="preserve"> </w:t>
      </w:r>
      <w:r>
        <w:t xml:space="preserve">number of samples, and most features are rare, which motivates filtering and</w:t>
      </w:r>
      <w:r>
        <w:t xml:space="preserve"> </w:t>
      </w:r>
      <w:r>
        <w:t xml:space="preserve">rarefaction before statistical testing.</w:t>
      </w:r>
    </w:p>
    <w:p>
      <w:pPr>
        <w:pStyle w:val="BodyText"/>
      </w:pPr>
      <w:r>
        <w:t xml:space="preserve">We collapse the</w:t>
      </w:r>
      <w:r>
        <w:t xml:space="preserve"> </w:t>
      </w:r>
      <w:r>
        <w:rPr>
          <w:rStyle w:val="VerbatimChar"/>
        </w:rPr>
        <w:t xml:space="preserve">HMP_BODY_SITE</w:t>
      </w:r>
      <w:r>
        <w:t xml:space="preserve"> </w:t>
      </w:r>
      <w:r>
        <w:t xml:space="preserve">values into five major sites — Airways, Gut</w:t>
      </w:r>
      <w:r>
        <w:t xml:space="preserve"> </w:t>
      </w:r>
      <w:r>
        <w:t xml:space="preserve">(Gastrointestinal Tract), Oral, Skin and Urogenital — to obtain a balanced</w:t>
      </w:r>
      <w:r>
        <w:t xml:space="preserve"> </w:t>
      </w:r>
      <w:r>
        <w:t xml:space="preserve">comparison across sites.</w:t>
      </w:r>
    </w:p>
    <w:bookmarkEnd w:id="22"/>
    <w:bookmarkStart w:id="23" w:name="questions-and-hypotheses"/>
    <w:p>
      <w:pPr>
        <w:pStyle w:val="Heading2"/>
      </w:pPr>
      <w:r>
        <w:t xml:space="preserve">Questions and hypotheses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Microbial alpha diversity differs significantly across the five</w:t>
      </w:r>
      <w:r>
        <w:t xml:space="preserve"> </w:t>
      </w:r>
      <w:r>
        <w:t xml:space="preserve">major body 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Microbial communities cluster distinctly by body site in beta</w:t>
      </w:r>
      <w:r>
        <w:t xml:space="preserve"> </w:t>
      </w:r>
      <w:r>
        <w:t xml:space="preserve">diversity ordination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Microbial co-occurrence networks differ in structure across body</w:t>
      </w:r>
      <w:r>
        <w:t xml:space="preserve"> </w:t>
      </w:r>
      <w:r>
        <w:t xml:space="preserve">sites (density, modularity, community count).</w:t>
      </w:r>
    </w:p>
    <w:p>
      <w:r>
        <w:br w:type="page"/>
      </w:r>
    </w:p>
    <w:bookmarkEnd w:id="23"/>
    <w:bookmarkEnd w:id="24"/>
    <w:bookmarkStart w:id="28" w:name="methods"/>
    <w:p>
      <w:pPr>
        <w:pStyle w:val="Heading1"/>
      </w:pPr>
      <w:r>
        <w:t xml:space="preserve">Methods</w:t>
      </w:r>
    </w:p>
    <w:bookmarkStart w:id="25" w:name="data-acquisition"/>
    <w:p>
      <w:pPr>
        <w:pStyle w:val="Heading2"/>
      </w:pPr>
      <w:r>
        <w:t xml:space="preserve">Data acquisition</w:t>
      </w:r>
    </w:p>
    <w:p>
      <w:pPr>
        <w:pStyle w:val="FirstParagraph"/>
      </w:pPr>
      <w:r>
        <w:t xml:space="preserve">HMP 16S V3–V5 data were downloaded programmatically using the Bioconductor</w:t>
      </w:r>
      <w:r>
        <w:t xml:space="preserve"> </w:t>
      </w:r>
      <w:r>
        <w:t xml:space="preserve">package</w:t>
      </w:r>
      <w:r>
        <w:t xml:space="preserve"> </w:t>
      </w:r>
      <w:r>
        <w:rPr>
          <w:rStyle w:val="VerbatimChar"/>
        </w:rPr>
        <w:t xml:space="preserve">HMP16SData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V35()</w:t>
      </w:r>
      <w:r>
        <w:t xml:space="preserve">)</w:t>
      </w:r>
      <w:r>
        <w:t xml:space="preserve"> </w:t>
      </w:r>
      <w:r>
        <w:t xml:space="preserve">(6)</w:t>
      </w:r>
      <w:r>
        <w:t xml:space="preserve">, yielding a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 </w:t>
      </w:r>
      <w:r>
        <w:t xml:space="preserve">with counts, taxonomy and sample metadata. The object</w:t>
      </w:r>
      <w:r>
        <w:t xml:space="preserve"> </w:t>
      </w:r>
      <w:r>
        <w:t xml:space="preserve">was converted to a</w:t>
      </w:r>
      <w:r>
        <w:t xml:space="preserve"> </w:t>
      </w:r>
      <w:r>
        <w:rPr>
          <w:rStyle w:val="VerbatimChar"/>
        </w:rPr>
        <w:t xml:space="preserve">phyloseq</w:t>
      </w:r>
      <w:r>
        <w:t xml:space="preserve"> </w:t>
      </w:r>
      <w:r>
        <w:t xml:space="preserve">(7)</w:t>
      </w:r>
      <w:r>
        <w:t xml:space="preserve"> </w:t>
      </w:r>
      <w:r>
        <w:t xml:space="preserve">object to take advantage of the</w:t>
      </w:r>
      <w:r>
        <w:t xml:space="preserve"> </w:t>
      </w:r>
      <w:r>
        <w:rPr>
          <w:rStyle w:val="VerbatimChar"/>
        </w:rPr>
        <w:t xml:space="preserve">phyloseq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vegan</w:t>
      </w:r>
      <w:r>
        <w:t xml:space="preserve"> </w:t>
      </w:r>
      <w:r>
        <w:t xml:space="preserve">(8)</w:t>
      </w:r>
      <w:r>
        <w:t xml:space="preserve"> </w:t>
      </w:r>
      <w:r>
        <w:t xml:space="preserve">ecosystem for microbiome-specific</w:t>
      </w:r>
      <w:r>
        <w:t xml:space="preserve"> </w:t>
      </w:r>
      <w:r>
        <w:t xml:space="preserve">handling.</w:t>
      </w:r>
    </w:p>
    <w:bookmarkEnd w:id="25"/>
    <w:bookmarkStart w:id="26" w:name="processing-and-cleaning"/>
    <w:p>
      <w:pPr>
        <w:pStyle w:val="Heading2"/>
      </w:pPr>
      <w:r>
        <w:t xml:space="preserve">Processing and cleaning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HMP_BODY_SITE</w:t>
      </w:r>
      <w:r>
        <w:t xml:space="preserve"> </w:t>
      </w:r>
      <w:r>
        <w:t xml:space="preserve">variable was simplified by renaming</w:t>
      </w:r>
      <w:r>
        <w:t xml:space="preserve"> </w:t>
      </w:r>
      <w:r>
        <w:t xml:space="preserve">“Gastrointestinal Tract”</w:t>
      </w:r>
      <w:r>
        <w:t xml:space="preserve"> </w:t>
      </w:r>
      <w:r>
        <w:t xml:space="preserve">→</w:t>
      </w:r>
      <w:r>
        <w:t xml:space="preserve"> </w:t>
      </w:r>
      <w:r>
        <w:t xml:space="preserve">“Gut”</w:t>
      </w:r>
      <w:r>
        <w:t xml:space="preserve"> </w:t>
      </w:r>
      <w:r>
        <w:t xml:space="preserve">and</w:t>
      </w:r>
      <w:r>
        <w:t xml:space="preserve"> </w:t>
      </w:r>
      <w:r>
        <w:t xml:space="preserve">“Urogenital Tract”</w:t>
      </w:r>
      <w:r>
        <w:t xml:space="preserve"> </w:t>
      </w:r>
      <w:r>
        <w:t xml:space="preserve">→</w:t>
      </w:r>
      <w:r>
        <w:t xml:space="preserve"> </w:t>
      </w:r>
      <w:r>
        <w:t xml:space="preserve">“Urogenital”</w:t>
      </w:r>
      <w:r>
        <w:t xml:space="preserve">. To</w:t>
      </w:r>
      <w:r>
        <w:t xml:space="preserve"> </w:t>
      </w:r>
      <w:r>
        <w:t xml:space="preserve">obtain a balanced dataset, we performed stratified random subsampling of up</w:t>
      </w:r>
      <w:r>
        <w:t xml:space="preserve"> </w:t>
      </w:r>
      <w:r>
        <w:t xml:space="preserve">to 200 samples per body site (</w:t>
      </w:r>
      <w:r>
        <w:rPr>
          <w:rStyle w:val="VerbatimChar"/>
        </w:rPr>
        <w:t xml:space="preserve">set.seed(123)</w:t>
      </w:r>
      <w:r>
        <w:t xml:space="preserve">). Low-abundance taxa were</w:t>
      </w:r>
      <w:r>
        <w:t xml:space="preserve"> </w:t>
      </w:r>
      <w:r>
        <w:t xml:space="preserve">removed by requiring each taxon to appear in at least 10 samples and to have</w:t>
      </w:r>
      <w:r>
        <w:t xml:space="preserve"> </w:t>
      </w:r>
      <w:r>
        <w:t xml:space="preserve">a total read count ≥ 50. Any samples that became empty after filtering were</w:t>
      </w:r>
      <w:r>
        <w:t xml:space="preserve"> </w:t>
      </w:r>
      <w:r>
        <w:t xml:space="preserve">dropped. For alpha and beta diversity, samples were rarefied to the 5th</w:t>
      </w:r>
      <w:r>
        <w:t xml:space="preserve"> </w:t>
      </w:r>
      <w:r>
        <w:t xml:space="preserve">percentile of sequencing depth.</w:t>
      </w:r>
    </w:p>
    <w:bookmarkEnd w:id="26"/>
    <w:bookmarkStart w:id="27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rPr>
          <w:b/>
          <w:bCs/>
        </w:rPr>
        <w:t xml:space="preserve">H1 (alpha diversity).</w:t>
      </w:r>
      <w:r>
        <w:t xml:space="preserve"> </w:t>
      </w:r>
      <w:r>
        <w:t xml:space="preserve">For each sample we calculated Observed richness,</w:t>
      </w:r>
      <w:r>
        <w:t xml:space="preserve"> </w:t>
      </w:r>
      <w:r>
        <w:t xml:space="preserve">Shannon</w:t>
      </w:r>
      <w:r>
        <w:t xml:space="preserve"> </w:t>
      </w:r>
      <w:r>
        <w:t xml:space="preserve">(9)</w:t>
      </w:r>
      <w:r>
        <w:t xml:space="preserve">, Simpson and Chao1 indices using</w:t>
      </w:r>
      <w:r>
        <w:t xml:space="preserve"> </w:t>
      </w:r>
      <w:r>
        <w:rPr>
          <w:rStyle w:val="VerbatimChar"/>
        </w:rPr>
        <w:t xml:space="preserve">phyloseq::estimate_richness()</w:t>
      </w:r>
      <w:r>
        <w:t xml:space="preserve"> </w:t>
      </w:r>
      <w:r>
        <w:t xml:space="preserve">(7)</w:t>
      </w:r>
      <w:r>
        <w:t xml:space="preserve">. For each metric we tested</w:t>
      </w:r>
      <w:r>
        <w:t xml:space="preserve"> </w:t>
      </w:r>
      <w:r>
        <w:t xml:space="preserve">for a body-site effect with a Kruskal-Wallis test; when significant</w:t>
      </w:r>
      <w:r>
        <w:t xml:space="preserve"> </w:t>
      </w:r>
      <w:r>
        <w:t xml:space="preserve">(α = 0.05) we performed Benjamini-Hochberg-adjusted pairwise Wilcoxon tests.</w:t>
      </w:r>
    </w:p>
    <w:p>
      <w:pPr>
        <w:pStyle w:val="BodyText"/>
      </w:pPr>
      <w:r>
        <w:rPr>
          <w:b/>
          <w:bCs/>
        </w:rPr>
        <w:t xml:space="preserve">H2 (beta diversity).</w:t>
      </w:r>
      <w:r>
        <w:t xml:space="preserve"> </w:t>
      </w:r>
      <w:r>
        <w:t xml:space="preserve">We log(1 + x) transformed counts and computed</w:t>
      </w:r>
      <w:r>
        <w:t xml:space="preserve"> </w:t>
      </w:r>
      <w:r>
        <w:t xml:space="preserve">Bray-Curtis</w:t>
      </w:r>
      <w:r>
        <w:t xml:space="preserve"> </w:t>
      </w:r>
      <w:r>
        <w:t xml:space="preserve">(10)</w:t>
      </w:r>
      <w:r>
        <w:t xml:space="preserve"> </w:t>
      </w:r>
      <w:r>
        <w:t xml:space="preserve">and Jaccard distances using</w:t>
      </w:r>
      <w:r>
        <w:t xml:space="preserve"> </w:t>
      </w:r>
      <w:r>
        <w:rPr>
          <w:rStyle w:val="VerbatimChar"/>
        </w:rPr>
        <w:t xml:space="preserve">vegan::vegdist</w:t>
      </w:r>
      <w:r>
        <w:t xml:space="preserve"> </w:t>
      </w:r>
      <w:r>
        <w:t xml:space="preserve">(8)</w:t>
      </w:r>
      <w:r>
        <w:t xml:space="preserve">. Body-site effects were tested with PERMANOVA</w:t>
      </w:r>
      <w:r>
        <w:t xml:space="preserve"> </w:t>
      </w:r>
      <w:r>
        <w:t xml:space="preserve">(11)</w:t>
      </w:r>
      <w:r>
        <w:t xml:space="preserve"> </w:t>
      </w:r>
      <w:r>
        <w:t xml:space="preserve">(</w:t>
      </w:r>
      <w:r>
        <w:rPr>
          <w:rStyle w:val="VerbatimChar"/>
        </w:rPr>
        <w:t xml:space="preserve">vegan::adonis2</w:t>
      </w:r>
      <w:r>
        <w:t xml:space="preserve">), together with a BETADISPER test for</w:t>
      </w:r>
      <w:r>
        <w:t xml:space="preserve"> </w:t>
      </w:r>
      <w:r>
        <w:t xml:space="preserve">equality of dispersion. Samples were visualized in PCoA space (Bray-Curtis)</w:t>
      </w:r>
      <w:r>
        <w:t xml:space="preserve"> </w:t>
      </w:r>
      <w:r>
        <w:t xml:space="preserve">with 95% confidence ellipses and via Ward-D2 hierarchical clustering.</w:t>
      </w:r>
    </w:p>
    <w:p>
      <w:pPr>
        <w:pStyle w:val="BodyText"/>
      </w:pPr>
      <w:r>
        <w:rPr>
          <w:b/>
          <w:bCs/>
        </w:rPr>
        <w:t xml:space="preserve">H3 (co-occurrence networks).</w:t>
      </w:r>
      <w:r>
        <w:t xml:space="preserve"> </w:t>
      </w:r>
      <w:r>
        <w:t xml:space="preserve">For each body site we computed a Spearman</w:t>
      </w:r>
      <w:r>
        <w:t xml:space="preserve"> </w:t>
      </w:r>
      <w:r>
        <w:t xml:space="preserve">correlation matrix over taxa that appeared in ≥ 10% of samples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Hmisc::rcorr</w:t>
      </w:r>
      <w:r>
        <w:t xml:space="preserve">). Edges were retained when |r| ≥ 0.5 and p &lt; 0.01; isolated</w:t>
      </w:r>
      <w:r>
        <w:t xml:space="preserve"> </w:t>
      </w:r>
      <w:r>
        <w:t xml:space="preserve">nodes were removed. Networks were built and analyzed with</w:t>
      </w:r>
      <w:r>
        <w:t xml:space="preserve"> </w:t>
      </w:r>
      <w:r>
        <w:rPr>
          <w:rStyle w:val="VerbatimChar"/>
        </w:rPr>
        <w:t xml:space="preserve">igraph</w:t>
      </w:r>
      <w:r>
        <w:t xml:space="preserve"> </w:t>
      </w:r>
      <w:r>
        <w:t xml:space="preserve">(12)</w:t>
      </w:r>
      <w:r>
        <w:t xml:space="preserve">, with communities detected by the Louvain algorithm</w:t>
      </w:r>
      <w:r>
        <w:t xml:space="preserve"> </w:t>
      </w:r>
      <w:r>
        <w:t xml:space="preserve">(13)</w:t>
      </w:r>
      <w:r>
        <w:t xml:space="preserve">. We characterized each network by node count, edge count,</w:t>
      </w:r>
      <w:r>
        <w:t xml:space="preserve"> </w:t>
      </w:r>
      <w:r>
        <w:t xml:space="preserve">density, average degree, global clustering coefficient, Louvain modularity,</w:t>
      </w:r>
      <w:r>
        <w:t xml:space="preserve"> </w:t>
      </w:r>
      <w:r>
        <w:t xml:space="preserve">and number of Louvain communities. Networks were compared visually using</w:t>
      </w:r>
      <w:r>
        <w:t xml:space="preserve"> </w:t>
      </w:r>
      <w:r>
        <w:t xml:space="preserve">bar plots of these summaries.</w:t>
      </w:r>
    </w:p>
    <w:p>
      <w:pPr>
        <w:pStyle w:val="BodyText"/>
      </w:pPr>
      <w:r>
        <w:rPr>
          <w:b/>
          <w:bCs/>
        </w:rPr>
        <w:t xml:space="preserve">H4 (supervised classification).</w:t>
      </w:r>
      <w:r>
        <w:t xml:space="preserve"> </w:t>
      </w:r>
      <w:r>
        <w:t xml:space="preserve">A held-out classifier was fit using the</w:t>
      </w:r>
      <w:r>
        <w:t xml:space="preserve"> </w:t>
      </w:r>
      <w:r>
        <w:rPr>
          <w:rStyle w:val="VerbatimChar"/>
        </w:rPr>
        <w:t xml:space="preserve">tidymodels</w:t>
      </w:r>
      <w:r>
        <w:t xml:space="preserve"> </w:t>
      </w:r>
      <w:r>
        <w:t xml:space="preserve">framework</w:t>
      </w:r>
      <w:r>
        <w:t xml:space="preserve"> </w:t>
      </w:r>
      <w:r>
        <w:t xml:space="preserve">(14)</w:t>
      </w:r>
      <w:r>
        <w:t xml:space="preserve"> </w:t>
      </w:r>
      <w:r>
        <w:t xml:space="preserve">with the top 300 most abundant</w:t>
      </w:r>
      <w:r>
        <w:t xml:space="preserve"> </w:t>
      </w:r>
      <w:r>
        <w:t xml:space="preserve">taxa as features (log(1+x) transformed, z-scored). We compared an elastic-net</w:t>
      </w:r>
      <w:r>
        <w:t xml:space="preserve"> </w:t>
      </w:r>
      <w:r>
        <w:t xml:space="preserve">multinomial logistic regression</w:t>
      </w:r>
      <w:r>
        <w:t xml:space="preserve"> </w:t>
      </w:r>
      <w:r>
        <w:t xml:space="preserve">(15)</w:t>
      </w:r>
      <w:r>
        <w:t xml:space="preserve"> </w:t>
      </w:r>
      <w:r>
        <w:t xml:space="preserve">and a random forest</w:t>
      </w:r>
      <w:r>
        <w:t xml:space="preserve"> </w:t>
      </w:r>
      <w:r>
        <w:t xml:space="preserve">(16)</w:t>
      </w:r>
      <w:r>
        <w:t xml:space="preserve">, with hyperparameters tuned by 5-fold cross-validation</w:t>
      </w:r>
      <w:r>
        <w:t xml:space="preserve"> </w:t>
      </w:r>
      <w:r>
        <w:t xml:space="preserve">on a stratified 75/25 train/test split.</w:t>
      </w:r>
    </w:p>
    <w:p>
      <w:pPr>
        <w:pStyle w:val="BodyText"/>
      </w:pPr>
      <w:r>
        <w:t xml:space="preserve">All analyses use</w:t>
      </w:r>
      <w:r>
        <w:t xml:space="preserve"> </w:t>
      </w:r>
      <w:r>
        <w:rPr>
          <w:rStyle w:val="VerbatimChar"/>
        </w:rPr>
        <w:t xml:space="preserve">set.seed(123)</w:t>
      </w:r>
      <w:r>
        <w:t xml:space="preserve"> </w:t>
      </w:r>
      <w:r>
        <w:t xml:space="preserve">where randomness is involved. The full</w:t>
      </w:r>
      <w:r>
        <w:t xml:space="preserve"> </w:t>
      </w:r>
      <w:r>
        <w:t xml:space="preserve">analysis pipeline is implemented in three files: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code/processing-code/processingfile-v1.qmd</w:t>
      </w:r>
      <w:r>
        <w:t xml:space="preserve"> </w:t>
      </w:r>
      <w:r>
        <w:t xml:space="preserve">(processing: downloads HMP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HMP16SData::V35()</w:t>
      </w:r>
      <w:r>
        <w:t xml:space="preserve">, filters rare taxa, saves</w:t>
      </w:r>
      <w:r>
        <w:t xml:space="preserve"> </w:t>
      </w:r>
      <w:r>
        <w:rPr>
          <w:rStyle w:val="VerbatimChar"/>
        </w:rPr>
        <w:t xml:space="preserve">ps_filt.rds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ps_rel.rds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code/eda-code/eda.qmd</w:t>
      </w:r>
      <w:r>
        <w:t xml:space="preserve"> </w:t>
      </w:r>
      <w:r>
        <w:t xml:space="preserve">(exploratory data analysis)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code/analysis-code/statistical-analysis.R</w:t>
      </w:r>
      <w:r>
        <w:t xml:space="preserve"> </w:t>
      </w:r>
      <w:r>
        <w:t xml:space="preserve">(formal analysis + tidymodels</w:t>
      </w:r>
      <w:r>
        <w:t xml:space="preserve"> </w:t>
      </w:r>
      <w:r>
        <w:t xml:space="preserve">classification)</w:t>
      </w:r>
    </w:p>
    <w:p>
      <w:r>
        <w:br w:type="page"/>
      </w:r>
    </w:p>
    <w:bookmarkEnd w:id="27"/>
    <w:bookmarkEnd w:id="28"/>
    <w:bookmarkStart w:id="67" w:name="results"/>
    <w:p>
      <w:pPr>
        <w:pStyle w:val="Heading1"/>
      </w:pPr>
      <w:r>
        <w:t xml:space="preserve">Results</w:t>
      </w:r>
    </w:p>
    <w:bookmarkStart w:id="38" w:name="exploratory-descriptive-analysis"/>
    <w:p>
      <w:pPr>
        <w:pStyle w:val="Heading2"/>
      </w:pPr>
      <w:r>
        <w:t xml:space="preserve">Exploratory / descriptive analysis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exploratory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of the processed dataset by body site (sample size, mean sequencing depth, alpha diversity).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35"/>
              <w:gridCol w:w="977"/>
              <w:gridCol w:w="1760"/>
              <w:gridCol w:w="1271"/>
              <w:gridCol w:w="107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n_samples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mean_library_size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mean_shannon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sd_shannon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Anterior Nares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Attached Keratinized Gingiva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Buccal Mucosa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Palate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Left Antecubital Fossa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Left Retroauricular Crease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 Vagina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Palatine Tonsils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Posterior Fornix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Right Antecubital Fossa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Right Retroauricular Crease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Saliva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Subgingival Plaque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Supragingival Plaque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Throat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Tongue Dorsum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Vaginal Introitus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seq-depth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distribution of per-sample sequencing depth,</w:t>
      </w:r>
      <w:r>
        <w:t xml:space="preserve"> </w:t>
      </w:r>
      <w:r>
        <w:t xml:space="preserve">motivating the rarefaction step. Figure</w:t>
      </w:r>
      <w:r>
        <w:t xml:space="preserve"> </w:t>
      </w:r>
      <w:hyperlink w:anchor="fig-top-phyla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relative</w:t>
      </w:r>
      <w:r>
        <w:t xml:space="preserve"> </w:t>
      </w:r>
      <w:r>
        <w:t xml:space="preserve">abundance of the 10 most abundant phyla across samples.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seq-depth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seq_depth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Sequencing depth distribution across samples.</w:t>
            </w:r>
          </w:p>
          <w:bookmarkEnd w:id="3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top-phyla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top_phyl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Relative abundance of the top 10 phyla across samples.</w:t>
            </w:r>
          </w:p>
          <w:bookmarkEnd w:id="37"/>
        </w:tc>
      </w:tr>
    </w:tbl>
    <w:bookmarkEnd w:id="38"/>
    <w:bookmarkStart w:id="44" w:name="h1-alpha-diversity-differs-by-body-site"/>
    <w:p>
      <w:pPr>
        <w:pStyle w:val="Heading2"/>
      </w:pPr>
      <w:r>
        <w:t xml:space="preserve">H1: Alpha diversity differs by body site</w:t>
      </w:r>
    </w:p>
    <w:p>
      <w:pPr>
        <w:pStyle w:val="FirstParagraph"/>
      </w:pPr>
      <w:r>
        <w:t xml:space="preserve">Kruskal-Wallis tests rejected the null of equal alpha diversity across body</w:t>
      </w:r>
      <w:r>
        <w:t xml:space="preserve"> </w:t>
      </w:r>
      <w:r>
        <w:t xml:space="preserve">sites for all four indices (Table</w:t>
      </w:r>
      <w:r>
        <w:t xml:space="preserve"> </w:t>
      </w:r>
      <w:hyperlink w:anchor="tbl-alpha-kw">
        <w:r>
          <w:rPr>
            <w:rStyle w:val="Hyperlink"/>
          </w:rPr>
          <w:t xml:space="preserve">Table 2</w:t>
        </w:r>
      </w:hyperlink>
      <w:r>
        <w:t xml:space="preserve">). Pairwise Wilcoxon follow-up</w:t>
      </w:r>
      <w:r>
        <w:t xml:space="preserve"> </w:t>
      </w:r>
      <w:r>
        <w:t xml:space="preserve">tests (Benjamini-Hochberg corrected) are stored in</w:t>
      </w:r>
      <w:r>
        <w:t xml:space="preserve"> </w:t>
      </w:r>
      <w:r>
        <w:rPr>
          <w:rStyle w:val="VerbatimChar"/>
        </w:rPr>
        <w:t xml:space="preserve">results/tables/alpha_pairwise.rds</w:t>
      </w:r>
      <w:r>
        <w:t xml:space="preserve">. Figure</w:t>
      </w:r>
      <w:r>
        <w:t xml:space="preserve"> </w:t>
      </w:r>
      <w:hyperlink w:anchor="fig-alpha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per-site</w:t>
      </w:r>
      <w:r>
        <w:t xml:space="preserve"> </w:t>
      </w:r>
      <w:r>
        <w:t xml:space="preserve">boxplots for the four indices; Oral and Gut samples show the highest Shannon</w:t>
      </w:r>
      <w:r>
        <w:t xml:space="preserve"> </w:t>
      </w:r>
      <w:r>
        <w:t xml:space="preserve">values, while Skin and Urogenital samples show lower and more variable</w:t>
      </w:r>
      <w:r>
        <w:t xml:space="preserve"> </w:t>
      </w:r>
      <w:r>
        <w:t xml:space="preserve">diversity.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alpha-k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Kruskal-Wallis tests of alpha diversity differences across the five body sites.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chi_sq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565.8054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Shannon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536.5011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Simpson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479.8354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Chao1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430.0101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39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alpha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alpha_diversity_5sites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Alpha diversity (Observed, Shannon, Simpson, Chao1) across the five major body sites.</w:t>
            </w:r>
          </w:p>
          <w:bookmarkEnd w:id="43"/>
        </w:tc>
      </w:tr>
    </w:tbl>
    <w:bookmarkEnd w:id="44"/>
    <w:bookmarkStart w:id="54" w:name="h2-samples-cluster-by-body-site"/>
    <w:p>
      <w:pPr>
        <w:pStyle w:val="Heading2"/>
      </w:pPr>
      <w:r>
        <w:t xml:space="preserve">H2: Samples cluster by body site</w:t>
      </w:r>
    </w:p>
    <w:p>
      <w:pPr>
        <w:pStyle w:val="FirstParagraph"/>
      </w:pPr>
      <w:r>
        <w:t xml:space="preserve">PERMANOVA on both Bray-Curtis and Jaccard distances showed strong body-site</w:t>
      </w:r>
      <w:r>
        <w:t xml:space="preserve"> </w:t>
      </w:r>
      <w:r>
        <w:t xml:space="preserve">effects (Table</w:t>
      </w:r>
      <w:r>
        <w:t xml:space="preserve"> </w:t>
      </w:r>
      <w:hyperlink w:anchor="tbl-permanova">
        <w:r>
          <w:rPr>
            <w:rStyle w:val="Hyperlink"/>
          </w:rPr>
          <w:t xml:space="preserve">Table 3</w:t>
        </w:r>
      </w:hyperlink>
      <w:r>
        <w:t xml:space="preserve">). Because BETADISPER tests were typically also</w:t>
      </w:r>
      <w:r>
        <w:t xml:space="preserve"> </w:t>
      </w:r>
      <w:r>
        <w:t xml:space="preserve">significant, effects reflect both location and dispersion differences;</w:t>
      </w:r>
      <w:r>
        <w:t xml:space="preserve"> </w:t>
      </w:r>
      <w:r>
        <w:t xml:space="preserve">however, the large PERMANOVA R² values combined with clear separation in</w:t>
      </w:r>
      <w:r>
        <w:t xml:space="preserve"> </w:t>
      </w:r>
      <w:r>
        <w:t xml:space="preserve">PCoA space (Figure</w:t>
      </w:r>
      <w:r>
        <w:t xml:space="preserve"> </w:t>
      </w:r>
      <w:hyperlink w:anchor="fig-pcoa">
        <w:r>
          <w:rPr>
            <w:rStyle w:val="Hyperlink"/>
          </w:rPr>
          <w:t xml:space="preserve">Figure 4</w:t>
        </w:r>
      </w:hyperlink>
      <w:r>
        <w:t xml:space="preserve">) indicate that body-site identity is the</w:t>
      </w:r>
      <w:r>
        <w:t xml:space="preserve"> </w:t>
      </w:r>
      <w:r>
        <w:t xml:space="preserve">dominant organizing axis of variation. Ward-D2 hierarchical clustering on</w:t>
      </w:r>
      <w:r>
        <w:t xml:space="preserve"> </w:t>
      </w:r>
      <w:r>
        <w:t xml:space="preserve">Bray-Curtis distance (Figure</w:t>
      </w:r>
      <w:r>
        <w:t xml:space="preserve"> </w:t>
      </w:r>
      <w:hyperlink w:anchor="fig-hclust">
        <w:r>
          <w:rPr>
            <w:rStyle w:val="Hyperlink"/>
          </w:rPr>
          <w:t xml:space="preserve">Figure 5</w:t>
        </w:r>
      </w:hyperlink>
      <w:r>
        <w:t xml:space="preserve">) separates samples into branches</w:t>
      </w:r>
      <w:r>
        <w:t xml:space="preserve"> </w:t>
      </w:r>
      <w:r>
        <w:t xml:space="preserve">that largely correspond to body site.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perm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PERMANOVA (with BETADISPER) testing body-site effects on community composition.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p_permanova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F_betadisper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p_betadisper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72.1086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35.3577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jaccard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37.5796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35.1819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</w:tr>
          </w:tbl>
          <w:bookmarkEnd w:id="45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coa"/>
          <w:p>
            <w:pPr>
              <w:pStyle w:val="Compact"/>
              <w:jc w:val="center"/>
            </w:pPr>
            <w:r>
              <w:drawing>
                <wp:inline>
                  <wp:extent cx="5334000" cy="414866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pcoa_ordination_5sites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4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PCoA of Bray-Curtis distances among samples, colored by body site. Ellipses are 95% confidence regions.</w:t>
            </w:r>
          </w:p>
          <w:bookmarkEnd w:id="4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hclus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hierarchical_clustering_5sites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Ward-D2 hierarchical clustering of samples based on Bray-Curtis distances. The color bar below the dendrogram marks body site.</w:t>
            </w:r>
          </w:p>
          <w:bookmarkEnd w:id="53"/>
        </w:tc>
      </w:tr>
    </w:tbl>
    <w:bookmarkEnd w:id="54"/>
    <w:bookmarkStart w:id="60" w:name="X00e4672c13a55deceaae6f6650c907431f230a6"/>
    <w:p>
      <w:pPr>
        <w:pStyle w:val="Heading2"/>
      </w:pPr>
      <w:r>
        <w:t xml:space="preserve">H3: Co-occurrence networks differ across body sites</w:t>
      </w:r>
    </w:p>
    <w:p>
      <w:pPr>
        <w:pStyle w:val="FirstParagraph"/>
      </w:pPr>
      <w:r>
        <w:t xml:space="preserve">Per-site co-occurrence networks showed clear differences in size, density</w:t>
      </w:r>
      <w:r>
        <w:t xml:space="preserve"> </w:t>
      </w:r>
      <w:r>
        <w:t xml:space="preserve">and modularity (Table</w:t>
      </w:r>
      <w:r>
        <w:t xml:space="preserve"> </w:t>
      </w:r>
      <w:hyperlink w:anchor="tbl-network">
        <w:r>
          <w:rPr>
            <w:rStyle w:val="Hyperlink"/>
          </w:rPr>
          <w:t xml:space="preserve">Table 4</w:t>
        </w:r>
      </w:hyperlink>
      <w:r>
        <w:t xml:space="preserve">; Figure</w:t>
      </w:r>
      <w:r>
        <w:t xml:space="preserve"> </w:t>
      </w:r>
      <w:hyperlink w:anchor="fig-network-stats">
        <w:r>
          <w:rPr>
            <w:rStyle w:val="Hyperlink"/>
          </w:rPr>
          <w:t xml:space="preserve">Figure 6</w:t>
        </w:r>
      </w:hyperlink>
      <w:r>
        <w:t xml:space="preserve">). Oral and Gut</w:t>
      </w:r>
      <w:r>
        <w:t xml:space="preserve"> </w:t>
      </w:r>
      <w:r>
        <w:t xml:space="preserve">communities produced the largest and most modular networks, consistent with</w:t>
      </w:r>
      <w:r>
        <w:t xml:space="preserve"> </w:t>
      </w:r>
      <w:r>
        <w:t xml:space="preserve">their higher observed richness, while Urogenital networks were smaller and</w:t>
      </w:r>
      <w:r>
        <w:t xml:space="preserve"> </w:t>
      </w:r>
      <w:r>
        <w:t xml:space="preserve">denser, driven by dominant taxa. Full network visualizations and hub-taxa</w:t>
      </w:r>
      <w:r>
        <w:t xml:space="preserve"> </w:t>
      </w:r>
      <w:r>
        <w:t xml:space="preserve">summaries are provided in the supplement.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networ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of per-site co-occurrence network properties.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61"/>
              <w:gridCol w:w="633"/>
              <w:gridCol w:w="633"/>
              <w:gridCol w:w="844"/>
              <w:gridCol w:w="1056"/>
              <w:gridCol w:w="1161"/>
              <w:gridCol w:w="1161"/>
              <w:gridCol w:w="12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Nodes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Edges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Density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AvgDegree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Clustering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Modularity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Communities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Airways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Gut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Skin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Urogenital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</w:tbl>
          <w:bookmarkEnd w:id="55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etwork-stats"/>
          <w:p>
            <w:pPr>
              <w:pStyle w:val="Compact"/>
              <w:jc w:val="center"/>
            </w:pPr>
            <w:r>
              <w:drawing>
                <wp:inline>
                  <wp:extent cx="5334000" cy="35560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network_statistics_comparison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Network property comparison across body sites (nodes, edges, density, average degree, clustering, modularity, number of communities).</w:t>
            </w:r>
          </w:p>
          <w:bookmarkEnd w:id="59"/>
        </w:tc>
      </w:tr>
    </w:tbl>
    <w:bookmarkEnd w:id="60"/>
    <w:bookmarkStart w:id="66" w:name="Xaf524a414a4ce0c0cf963506975d30a73fd5929"/>
    <w:p>
      <w:pPr>
        <w:pStyle w:val="Heading2"/>
      </w:pPr>
      <w:r>
        <w:t xml:space="preserve">H4: Predicting body site from taxon abundances (tidymodels)</w:t>
      </w:r>
    </w:p>
    <w:p>
      <w:pPr>
        <w:pStyle w:val="FirstParagraph"/>
      </w:pPr>
      <w:r>
        <w:t xml:space="preserve">To complement the descriptive hypothesis tests we also fit a supervised</w:t>
      </w:r>
      <w:r>
        <w:t xml:space="preserve"> </w:t>
      </w:r>
      <w:r>
        <w:t xml:space="preserve">classifier that predicts body site from taxon abundances, using the</w:t>
      </w:r>
      <w:r>
        <w:t xml:space="preserve"> </w:t>
      </w:r>
      <w:r>
        <w:rPr>
          <w:rStyle w:val="VerbatimChar"/>
        </w:rPr>
        <w:t xml:space="preserve">tidymodels</w:t>
      </w:r>
      <w:r>
        <w:t xml:space="preserve"> </w:t>
      </w:r>
      <w:r>
        <w:t xml:space="preserve">framework</w:t>
      </w:r>
      <w:r>
        <w:t xml:space="preserve"> </w:t>
      </w:r>
      <w:r>
        <w:t xml:space="preserve">(14)</w:t>
      </w:r>
      <w:r>
        <w:t xml:space="preserve">. Features are log(1+x)-transformed</w:t>
      </w:r>
      <w:r>
        <w:t xml:space="preserve"> </w:t>
      </w:r>
      <w:r>
        <w:t xml:space="preserve">counts of the 300 most abundant taxa; data are split 75/25 (stratified by</w:t>
      </w:r>
      <w:r>
        <w:t xml:space="preserve"> </w:t>
      </w:r>
      <w:r>
        <w:t xml:space="preserve">site); hyperparameters for an elastic-net multinomial GLM</w:t>
      </w:r>
      <w:r>
        <w:t xml:space="preserve"> </w:t>
      </w:r>
      <w:r>
        <w:t xml:space="preserve">(</w:t>
      </w:r>
      <w:r>
        <w:rPr>
          <w:rStyle w:val="VerbatimChar"/>
        </w:rPr>
        <w:t xml:space="preserve">glmnet</w:t>
      </w:r>
      <w:r>
        <w:t xml:space="preserve"> </w:t>
      </w:r>
      <w:r>
        <w:t xml:space="preserve">(15)</w:t>
      </w:r>
      <w:r>
        <w:t xml:space="preserve">) and a random forest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ranger</w:t>
      </w:r>
      <w:r>
        <w:t xml:space="preserve"> </w:t>
      </w:r>
      <w:r>
        <w:t xml:space="preserve">(16)</w:t>
      </w:r>
      <w:r>
        <w:t xml:space="preserve">) are tuned with 5-fold cross-validation. Test-set performance is reported in</w:t>
      </w:r>
      <w:r>
        <w:t xml:space="preserve"> </w:t>
      </w:r>
      <w:r>
        <w:t xml:space="preserve">Table</w:t>
      </w:r>
      <w:r>
        <w:t xml:space="preserve"> </w:t>
      </w:r>
      <w:hyperlink w:anchor="tbl-ml-test">
        <w:r>
          <w:rPr>
            <w:rStyle w:val="Hyperlink"/>
          </w:rPr>
          <w:t xml:space="preserve">Table 5</w:t>
        </w:r>
      </w:hyperlink>
      <w:r>
        <w:t xml:space="preserve">, and the confusion matrix for the better-performing model</w:t>
      </w:r>
      <w:r>
        <w:t xml:space="preserve"> </w:t>
      </w:r>
      <w:r>
        <w:t xml:space="preserve">is shown in Figure</w:t>
      </w:r>
      <w:r>
        <w:t xml:space="preserve"> </w:t>
      </w:r>
      <w:hyperlink w:anchor="fig-ml-cm">
        <w:r>
          <w:rPr>
            <w:rStyle w:val="Hyperlink"/>
          </w:rPr>
          <w:t xml:space="preserve">Figure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ml-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Held-out test-set performance for the two tuned classifiers.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.estimator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.estimate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multiclass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multinom_glmnet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hand_till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multinom_glmnet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multiclass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random_forest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roc_auc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hand_till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pre0_mod0_post0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random_forest</w:t>
                  </w:r>
                </w:p>
              </w:tc>
            </w:tr>
          </w:tbl>
          <w:bookmarkEnd w:id="61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ml-cm"/>
          <w:p>
            <w:pPr>
              <w:pStyle w:val="Compact"/>
              <w:jc w:val="center"/>
            </w:pPr>
            <w:r>
              <w:drawing>
                <wp:inline>
                  <wp:extent cx="5334000" cy="45720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./../results/figures/ml_confusion_matrix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Confusion matrix of the best-performing classifier on the held-out test set.</w:t>
            </w:r>
          </w:p>
          <w:bookmarkEnd w:id="65"/>
        </w:tc>
      </w:tr>
    </w:tbl>
    <w:p>
      <w:r>
        <w:br w:type="page"/>
      </w:r>
    </w:p>
    <w:bookmarkEnd w:id="66"/>
    <w:bookmarkEnd w:id="67"/>
    <w:bookmarkStart w:id="71" w:name="discussion"/>
    <w:p>
      <w:pPr>
        <w:pStyle w:val="Heading1"/>
      </w:pPr>
      <w:r>
        <w:t xml:space="preserve">Discussion</w:t>
      </w:r>
    </w:p>
    <w:bookmarkStart w:id="68" w:name="summary-and-interpretation"/>
    <w:p>
      <w:pPr>
        <w:pStyle w:val="Heading2"/>
      </w:pPr>
      <w:r>
        <w:t xml:space="preserve">Summary and interpretation</w:t>
      </w:r>
    </w:p>
    <w:p>
      <w:pPr>
        <w:pStyle w:val="FirstParagraph"/>
      </w:pPr>
      <w:r>
        <w:t xml:space="preserve">Across the three hypotheses, body site emerged as a strong and consistent</w:t>
      </w:r>
      <w:r>
        <w:t xml:space="preserve"> </w:t>
      </w:r>
      <w:r>
        <w:t xml:space="preserve">organizing axis of the HMP 16S data. Alpha diversity differed significantly</w:t>
      </w:r>
      <w:r>
        <w:t xml:space="preserve"> </w:t>
      </w:r>
      <w:r>
        <w:t xml:space="preserve">across the five major sites, the first two PCoA axes alone revealed clear</w:t>
      </w:r>
      <w:r>
        <w:t xml:space="preserve"> </w:t>
      </w:r>
      <w:r>
        <w:t xml:space="preserve">site-level clustering, and the per-site co-occurrence networks varied not</w:t>
      </w:r>
      <w:r>
        <w:t xml:space="preserve"> </w:t>
      </w:r>
      <w:r>
        <w:t xml:space="preserve">just in which taxa they contained but in their topology. This reproduces</w:t>
      </w:r>
      <w:r>
        <w:t xml:space="preserve"> </w:t>
      </w:r>
      <w:r>
        <w:t xml:space="preserve">the core observation of the HMP and extends it with network-level</w:t>
      </w:r>
      <w:r>
        <w:t xml:space="preserve"> </w:t>
      </w:r>
      <w:r>
        <w:t xml:space="preserve">descriptors.</w:t>
      </w:r>
    </w:p>
    <w:bookmarkEnd w:id="68"/>
    <w:bookmarkStart w:id="69" w:name="strengths-and-limitations"/>
    <w:p>
      <w:pPr>
        <w:pStyle w:val="Heading2"/>
      </w:pPr>
      <w:r>
        <w:t xml:space="preserve">Strengths and limitations</w:t>
      </w:r>
    </w:p>
    <w:p>
      <w:pPr>
        <w:pStyle w:val="FirstParagraph"/>
      </w:pPr>
      <w:r>
        <w:t xml:space="preserve">Strengths of the analysis include its full reproducibility — data are</w:t>
      </w:r>
      <w:r>
        <w:t xml:space="preserve"> </w:t>
      </w:r>
      <w:r>
        <w:t xml:space="preserve">downloaded programmatically, seeds are fixed, and every figure and table is</w:t>
      </w:r>
      <w:r>
        <w:t xml:space="preserve"> </w:t>
      </w:r>
      <w:r>
        <w:t xml:space="preserve">regenerated by the scripts — and its use of robust, non-parametric or</w:t>
      </w:r>
      <w:r>
        <w:t xml:space="preserve"> </w:t>
      </w:r>
      <w:r>
        <w:t xml:space="preserve">permutation-based tests that are appropriate for compositional microbiome</w:t>
      </w:r>
      <w:r>
        <w:t xml:space="preserve"> </w:t>
      </w:r>
      <w:r>
        <w:t xml:space="preserve">data. Limitations include (1) reliance on rarefaction, which discards reads</w:t>
      </w:r>
      <w:r>
        <w:t xml:space="preserve"> </w:t>
      </w:r>
      <w:r>
        <w:t xml:space="preserve">and may underestimate diversity in high-depth samples; (2) the Pearson-style</w:t>
      </w:r>
      <w:r>
        <w:t xml:space="preserve"> </w:t>
      </w:r>
      <w:r>
        <w:t xml:space="preserve">assumptions embedded in Spearman correlation networks, which do not handle</w:t>
      </w:r>
      <w:r>
        <w:t xml:space="preserve"> </w:t>
      </w:r>
      <w:r>
        <w:t xml:space="preserve">compositional zeros particularly well; and (3) a focus on the five</w:t>
      </w:r>
      <w:r>
        <w:t xml:space="preserve"> </w:t>
      </w:r>
      <w:r>
        <w:rPr>
          <w:i/>
          <w:iCs/>
        </w:rPr>
        <w:t xml:space="preserve">major</w:t>
      </w:r>
      <w:r>
        <w:t xml:space="preserve"> </w:t>
      </w:r>
      <w:r>
        <w:t xml:space="preserve">body sites, which aggregates anatomically distinct subsites (e.g. tongue vs.</w:t>
      </w:r>
      <w:r>
        <w:t xml:space="preserve"> </w:t>
      </w:r>
      <w:r>
        <w:t xml:space="preserve">buccal mucosa within</w:t>
      </w:r>
      <w:r>
        <w:t xml:space="preserve"> </w:t>
      </w:r>
      <w:r>
        <w:t xml:space="preserve">“Oral”</w:t>
      </w:r>
      <w:r>
        <w:t xml:space="preserve">).</w:t>
      </w:r>
    </w:p>
    <w:bookmarkEnd w:id="69"/>
    <w:bookmarkStart w:id="70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Body-site identity drives alpha diversity, community composition and</w:t>
      </w:r>
      <w:r>
        <w:t xml:space="preserve"> </w:t>
      </w:r>
      <w:r>
        <w:t xml:space="preserve">co-occurrence network structure in the HMP 16S data. Network-level</w:t>
      </w:r>
      <w:r>
        <w:t xml:space="preserve"> </w:t>
      </w:r>
      <w:r>
        <w:t xml:space="preserve">descriptors (modularity, number of communities, average degree) add</w:t>
      </w:r>
      <w:r>
        <w:t xml:space="preserve"> </w:t>
      </w:r>
      <w:r>
        <w:t xml:space="preserve">information beyond diversity indices and PCoA and are worth reporting in</w:t>
      </w:r>
      <w:r>
        <w:t xml:space="preserve"> </w:t>
      </w:r>
      <w:r>
        <w:t xml:space="preserve">comparative microbiome studies. The fully scripted workflow used here can</w:t>
      </w:r>
      <w:r>
        <w:t xml:space="preserve"> </w:t>
      </w:r>
      <w:r>
        <w:t xml:space="preserve">be adapted to new HMP subsets or to other 16S studies with minimal change.</w:t>
      </w:r>
    </w:p>
    <w:p>
      <w:pPr>
        <w:pStyle w:val="BodyText"/>
      </w:pPr>
      <w:r>
        <w:t xml:space="preserve">Examples of reproducible research projects can be found in</w:t>
      </w:r>
      <w:r>
        <w:t xml:space="preserve"> </w:t>
      </w:r>
      <w:r>
        <w:t xml:space="preserve">(4,5)</w:t>
      </w:r>
      <w:r>
        <w:t xml:space="preserve">; this paper follows that style.</w:t>
      </w:r>
    </w:p>
    <w:p>
      <w:r>
        <w:br w:type="page"/>
      </w:r>
    </w:p>
    <w:bookmarkEnd w:id="70"/>
    <w:bookmarkEnd w:id="71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73" w:name="ref-leek201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Leek JT, Peng RD.</w:t>
      </w:r>
      <w:r>
        <w:t xml:space="preserve"> </w:t>
      </w:r>
      <w:hyperlink r:id="rId72">
        <w:r>
          <w:rPr>
            <w:rStyle w:val="Hyperlink"/>
          </w:rPr>
          <w:t xml:space="preserve">Statistics.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the question?</w:t>
        </w:r>
      </w:hyperlink>
      <w:r>
        <w:t xml:space="preserve"> </w:t>
      </w:r>
      <w:r>
        <w:rPr>
          <w:i/>
          <w:iCs/>
        </w:rPr>
        <w:t xml:space="preserve">Science (New York, N.Y.)</w:t>
      </w:r>
      <w:r>
        <w:t xml:space="preserve">. 2015;347(6228):1314–1315.</w:t>
      </w:r>
      <w:r>
        <w:t xml:space="preserve"> </w:t>
      </w:r>
    </w:p>
    <w:bookmarkEnd w:id="73"/>
    <w:bookmarkStart w:id="75" w:name="ref-hmp201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Human Microbiome Project Consortium.</w:t>
      </w:r>
      <w:r>
        <w:t xml:space="preserve"> </w:t>
      </w:r>
      <w:hyperlink r:id="rId74">
        <w:r>
          <w:rPr>
            <w:rStyle w:val="Hyperlink"/>
          </w:rPr>
          <w:t xml:space="preserve">Structure, function and diversity of the healthy human microbiome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. 2012;486(7402):207–214.</w:t>
      </w:r>
      <w:r>
        <w:t xml:space="preserve"> </w:t>
      </w:r>
    </w:p>
    <w:bookmarkEnd w:id="75"/>
    <w:bookmarkStart w:id="77" w:name="ref-callahan201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Callahan BJ, Sankaran K, Fukuyama JA, et al.</w:t>
      </w:r>
      <w:r>
        <w:t xml:space="preserve"> </w:t>
      </w:r>
      <w:hyperlink r:id="rId76">
        <w:r>
          <w:rPr>
            <w:rStyle w:val="Hyperlink"/>
          </w:rPr>
          <w:t xml:space="preserve">Bioconductor workflow for microbiome data analysis: From raw reads to community analyses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F1000Research</w:t>
      </w:r>
      <w:r>
        <w:t xml:space="preserve">. 2016;5:1492.</w:t>
      </w:r>
      <w:r>
        <w:t xml:space="preserve"> </w:t>
      </w:r>
    </w:p>
    <w:bookmarkEnd w:id="77"/>
    <w:bookmarkStart w:id="79" w:name="ref-mckay2020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McKay B, Ebell M, Billings WZ, et al.</w:t>
      </w:r>
      <w:r>
        <w:t xml:space="preserve"> </w:t>
      </w:r>
      <w:hyperlink r:id="rId78">
        <w:r>
          <w:rPr>
            <w:rStyle w:val="Hyperlink"/>
          </w:rPr>
          <w:t xml:space="preserve">Associations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 Relative Viral Load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Diagnosis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Influenza A Symptoms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Recovery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Open forum infectious diseases</w:t>
      </w:r>
      <w:r>
        <w:t xml:space="preserve">. 2020;7(11):ofaa494.</w:t>
      </w:r>
      <w:r>
        <w:t xml:space="preserve"> </w:t>
      </w:r>
    </w:p>
    <w:bookmarkEnd w:id="79"/>
    <w:bookmarkStart w:id="81" w:name="ref-mckay2020a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McKay B, Ebell M, Dale AP, et al.</w:t>
      </w:r>
      <w:r>
        <w:t xml:space="preserve"> </w:t>
      </w:r>
      <w:hyperlink r:id="rId80">
        <w:r>
          <w:rPr>
            <w:rStyle w:val="Hyperlink"/>
          </w:rPr>
          <w:t xml:space="preserve">Virulence-mediated infectiousness and activity trade-offs and their impact on transmission potential of influenza patients.</w:t>
        </w:r>
      </w:hyperlink>
      <w:r>
        <w:t xml:space="preserve"> </w:t>
      </w:r>
      <w:r>
        <w:rPr>
          <w:i/>
          <w:iCs/>
        </w:rPr>
        <w:t xml:space="preserve">Proceedings. Biological sciences</w:t>
      </w:r>
      <w:r>
        <w:t xml:space="preserve">. 2020;287(1927):20200496.</w:t>
      </w:r>
      <w:r>
        <w:t xml:space="preserve"> </w:t>
      </w:r>
    </w:p>
    <w:bookmarkEnd w:id="81"/>
    <w:bookmarkStart w:id="83" w:name="ref-schiffer201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Schiffer L, Azhar R, Shepherd L, et al.</w:t>
      </w:r>
      <w:r>
        <w:t xml:space="preserve"> </w:t>
      </w:r>
      <w:hyperlink r:id="rId82">
        <w:r>
          <w:rPr>
            <w:rStyle w:val="Hyperlink"/>
          </w:rPr>
          <w:t xml:space="preserve">HMP16SData</w:t>
        </w:r>
        <w:r>
          <w:rPr>
            <w:rStyle w:val="Hyperlink"/>
          </w:rPr>
          <w:t xml:space="preserve">: Efficient access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Human Microbiome Project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through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Bioconductor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. 2019;188(6):1023–1026.</w:t>
      </w:r>
      <w:r>
        <w:t xml:space="preserve"> </w:t>
      </w:r>
    </w:p>
    <w:bookmarkEnd w:id="83"/>
    <w:bookmarkStart w:id="85" w:name="ref-mcmurdie2013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McMurdie PJ, Holmes S.</w:t>
      </w:r>
      <w:r>
        <w:t xml:space="preserve"> </w:t>
      </w:r>
      <w:hyperlink r:id="rId84">
        <w:r>
          <w:rPr>
            <w:rStyle w:val="Hyperlink"/>
          </w:rPr>
          <w:t xml:space="preserve">phyloseq</w:t>
        </w:r>
        <w:r>
          <w:rPr>
            <w:rStyle w:val="Hyperlink"/>
          </w:rPr>
          <w:t xml:space="preserve">: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 for reproducible interactive analysis and graphics of microbiome census data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2013;8(4):e61217.</w:t>
      </w:r>
      <w:r>
        <w:t xml:space="preserve"> </w:t>
      </w:r>
    </w:p>
    <w:bookmarkEnd w:id="85"/>
    <w:bookmarkStart w:id="87" w:name="ref-oksanen2024vega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Oksanen J, Simpson GL, Blanchet FG, et al.</w:t>
      </w:r>
      <w:r>
        <w:t xml:space="preserve"> </w:t>
      </w:r>
      <w:r>
        <w:t xml:space="preserve">vegan</w:t>
      </w:r>
      <w:r>
        <w:t xml:space="preserve">: Community ecology package. 2024.(</w:t>
      </w:r>
      <w:hyperlink r:id="rId86">
        <w:r>
          <w:rPr>
            <w:rStyle w:val="Hyperlink"/>
          </w:rPr>
          <w:t xml:space="preserve">https://CRAN.R-project.org/package=vegan</w:t>
        </w:r>
      </w:hyperlink>
      <w:r>
        <w:t xml:space="preserve">)</w:t>
      </w:r>
    </w:p>
    <w:bookmarkEnd w:id="87"/>
    <w:bookmarkStart w:id="89" w:name="ref-shannon1948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Shannon CE.</w:t>
      </w:r>
      <w:r>
        <w:t xml:space="preserve"> </w:t>
      </w:r>
      <w:hyperlink r:id="rId88">
        <w:r>
          <w:rPr>
            <w:rStyle w:val="Hyperlink"/>
          </w:rPr>
          <w:t xml:space="preserve">A mathematical theory of communication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. 1948;27(3):379–423.</w:t>
      </w:r>
      <w:r>
        <w:t xml:space="preserve"> </w:t>
      </w:r>
    </w:p>
    <w:bookmarkEnd w:id="89"/>
    <w:bookmarkStart w:id="91" w:name="ref-bray195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Bray JR, Curtis JT.</w:t>
      </w:r>
      <w:r>
        <w:t xml:space="preserve"> </w:t>
      </w:r>
      <w:hyperlink r:id="rId90">
        <w:r>
          <w:rPr>
            <w:rStyle w:val="Hyperlink"/>
          </w:rPr>
          <w:t xml:space="preserve">An ordination of the upland forest communities of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Wisconsin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Monographs</w:t>
      </w:r>
      <w:r>
        <w:t xml:space="preserve">. 1957;27(4):325–349.</w:t>
      </w:r>
      <w:r>
        <w:t xml:space="preserve"> </w:t>
      </w:r>
    </w:p>
    <w:bookmarkEnd w:id="91"/>
    <w:bookmarkStart w:id="93" w:name="ref-anderson2001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Anderson MJ.</w:t>
      </w:r>
      <w:r>
        <w:t xml:space="preserve"> </w:t>
      </w:r>
      <w:hyperlink r:id="rId92">
        <w:r>
          <w:rPr>
            <w:rStyle w:val="Hyperlink"/>
          </w:rPr>
          <w:t xml:space="preserve">A new method for non-parametric multivariate analysis of variance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2001;26(1):32–46.</w:t>
      </w:r>
      <w:r>
        <w:t xml:space="preserve"> </w:t>
      </w:r>
    </w:p>
    <w:bookmarkEnd w:id="93"/>
    <w:bookmarkStart w:id="95" w:name="ref-csardi2006igraph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Csardi G, Nepusz T. The</w:t>
      </w:r>
      <w:r>
        <w:t xml:space="preserve"> </w:t>
      </w:r>
      <w:r>
        <w:t xml:space="preserve">igraph</w:t>
      </w:r>
      <w:r>
        <w:t xml:space="preserve"> </w:t>
      </w:r>
      <w:r>
        <w:t xml:space="preserve">software package for complex network research.</w:t>
      </w:r>
      <w:r>
        <w:t xml:space="preserve"> </w:t>
      </w:r>
      <w:r>
        <w:rPr>
          <w:i/>
          <w:iCs/>
        </w:rPr>
        <w:t xml:space="preserve">InterJournal, Complex Systems</w:t>
      </w:r>
      <w:r>
        <w:t xml:space="preserve"> </w:t>
      </w:r>
      <w:r>
        <w:t xml:space="preserve">[electronic article]. 2006;1695(5):1–9. (</w:t>
      </w:r>
      <w:hyperlink r:id="rId94">
        <w:r>
          <w:rPr>
            <w:rStyle w:val="Hyperlink"/>
          </w:rPr>
          <w:t xml:space="preserve">https://igraph.org</w:t>
        </w:r>
      </w:hyperlink>
      <w:r>
        <w:t xml:space="preserve">)</w:t>
      </w:r>
    </w:p>
    <w:bookmarkEnd w:id="95"/>
    <w:bookmarkStart w:id="97" w:name="ref-blondel2008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Blondel VD, Guillaume J-L, Lambiotte R, et al.</w:t>
      </w:r>
      <w:r>
        <w:t xml:space="preserve"> </w:t>
      </w:r>
      <w:hyperlink r:id="rId96">
        <w:r>
          <w:rPr>
            <w:rStyle w:val="Hyperlink"/>
          </w:rPr>
          <w:t xml:space="preserve">Fast unfolding of communities in large networks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Statistical Mechanics: Theory and Experiment</w:t>
      </w:r>
      <w:r>
        <w:t xml:space="preserve">. 2008;2008(10):P10008.</w:t>
      </w:r>
      <w:r>
        <w:t xml:space="preserve"> </w:t>
      </w:r>
    </w:p>
    <w:bookmarkEnd w:id="97"/>
    <w:bookmarkStart w:id="99" w:name="ref-kuhn2020tidymodel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Kuhn M, Wickham H.</w:t>
      </w:r>
      <w:r>
        <w:t xml:space="preserve"> </w:t>
      </w:r>
      <w:r>
        <w:t xml:space="preserve">tidymodels</w:t>
      </w:r>
      <w:r>
        <w:t xml:space="preserve">: A collection of packages for modeling and machine learning using tidyverse principles. 2020.(</w:t>
      </w:r>
      <w:hyperlink r:id="rId98">
        <w:r>
          <w:rPr>
            <w:rStyle w:val="Hyperlink"/>
          </w:rPr>
          <w:t xml:space="preserve">https://www.tidymodels.org</w:t>
        </w:r>
      </w:hyperlink>
      <w:r>
        <w:t xml:space="preserve">)</w:t>
      </w:r>
    </w:p>
    <w:bookmarkEnd w:id="99"/>
    <w:bookmarkStart w:id="101" w:name="ref-friedman2010glmnet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Friedman J, Hastie T, Tibshirani R.</w:t>
      </w:r>
      <w:r>
        <w:t xml:space="preserve"> </w:t>
      </w:r>
      <w:hyperlink r:id="rId100">
        <w:r>
          <w:rPr>
            <w:rStyle w:val="Hyperlink"/>
          </w:rPr>
          <w:t xml:space="preserve">Regularization paths for generalized linear models via coordinate descent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 2010;33(1):1–22.</w:t>
      </w:r>
      <w:r>
        <w:t xml:space="preserve"> </w:t>
      </w:r>
    </w:p>
    <w:bookmarkEnd w:id="101"/>
    <w:bookmarkStart w:id="103" w:name="ref-wright2017ranger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Wright MN, Ziegler A.</w:t>
      </w:r>
      <w:r>
        <w:t xml:space="preserve"> </w:t>
      </w:r>
      <w:hyperlink r:id="rId102">
        <w:r>
          <w:rPr>
            <w:rStyle w:val="Hyperlink"/>
          </w:rPr>
          <w:t xml:space="preserve">ranger</w:t>
        </w:r>
        <w:r>
          <w:rPr>
            <w:rStyle w:val="Hyperlink"/>
          </w:rPr>
          <w:t xml:space="preserve">: A fast implementation of random forests for high dimensional data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C++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 2017;77(1):1–17.</w:t>
      </w:r>
      <w:r>
        <w:t xml:space="preserve"> 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62" Target="media/rId62.png" /><Relationship Type="http://schemas.openxmlformats.org/officeDocument/2006/relationships/image" Id="rId56" Target="media/rId56.png" /><Relationship Type="http://schemas.openxmlformats.org/officeDocument/2006/relationships/image" Id="rId46" Target="media/rId4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86" Target="https://CRAN.R-project.org/package=vegan" TargetMode="External" /><Relationship Type="http://schemas.openxmlformats.org/officeDocument/2006/relationships/hyperlink" Id="rId88" Target="https://doi.org/10.1002/j.1538-7305.1948.tb01338.x" TargetMode="External" /><Relationship Type="http://schemas.openxmlformats.org/officeDocument/2006/relationships/hyperlink" Id="rId74" Target="https://doi.org/10.1038/nature11234" TargetMode="External" /><Relationship Type="http://schemas.openxmlformats.org/officeDocument/2006/relationships/hyperlink" Id="rId96" Target="https://doi.org/10.1088/1742-5468/2008/10/P10008" TargetMode="External" /><Relationship Type="http://schemas.openxmlformats.org/officeDocument/2006/relationships/hyperlink" Id="rId82" Target="https://doi.org/10.1093/aje/kwz006" TargetMode="External" /><Relationship Type="http://schemas.openxmlformats.org/officeDocument/2006/relationships/hyperlink" Id="rId78" Target="https://doi.org/10.1093/ofid/ofaa494" TargetMode="External" /><Relationship Type="http://schemas.openxmlformats.org/officeDocument/2006/relationships/hyperlink" Id="rId80" Target="https://doi.org/10.1098/rspb.2020.0496" TargetMode="External" /><Relationship Type="http://schemas.openxmlformats.org/officeDocument/2006/relationships/hyperlink" Id="rId92" Target="https://doi.org/10.1111/j.1442-9993.2001.01070.pp.x" TargetMode="External" /><Relationship Type="http://schemas.openxmlformats.org/officeDocument/2006/relationships/hyperlink" Id="rId72" Target="https://doi.org/10.1126/science.aaa6146" TargetMode="External" /><Relationship Type="http://schemas.openxmlformats.org/officeDocument/2006/relationships/hyperlink" Id="rId76" Target="https://doi.org/10.12688/f1000research.9277.2" TargetMode="External" /><Relationship Type="http://schemas.openxmlformats.org/officeDocument/2006/relationships/hyperlink" Id="rId84" Target="https://doi.org/10.1371/journal.pone.0061217" TargetMode="External" /><Relationship Type="http://schemas.openxmlformats.org/officeDocument/2006/relationships/hyperlink" Id="rId100" Target="https://doi.org/10.18637/jss.v033.i01" TargetMode="External" /><Relationship Type="http://schemas.openxmlformats.org/officeDocument/2006/relationships/hyperlink" Id="rId102" Target="https://doi.org/10.18637/jss.v077.i01" TargetMode="External" /><Relationship Type="http://schemas.openxmlformats.org/officeDocument/2006/relationships/hyperlink" Id="rId90" Target="https://doi.org/10.2307/1942268" TargetMode="External" /><Relationship Type="http://schemas.openxmlformats.org/officeDocument/2006/relationships/hyperlink" Id="rId94" Target="https://igraph.org" TargetMode="External" /><Relationship Type="http://schemas.openxmlformats.org/officeDocument/2006/relationships/hyperlink" Id="rId98" Target="https://www.tidymodel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CRAN.R-project.org/package=vegan" TargetMode="External" /><Relationship Type="http://schemas.openxmlformats.org/officeDocument/2006/relationships/hyperlink" Id="rId88" Target="https://doi.org/10.1002/j.1538-7305.1948.tb01338.x" TargetMode="External" /><Relationship Type="http://schemas.openxmlformats.org/officeDocument/2006/relationships/hyperlink" Id="rId74" Target="https://doi.org/10.1038/nature11234" TargetMode="External" /><Relationship Type="http://schemas.openxmlformats.org/officeDocument/2006/relationships/hyperlink" Id="rId96" Target="https://doi.org/10.1088/1742-5468/2008/10/P10008" TargetMode="External" /><Relationship Type="http://schemas.openxmlformats.org/officeDocument/2006/relationships/hyperlink" Id="rId82" Target="https://doi.org/10.1093/aje/kwz006" TargetMode="External" /><Relationship Type="http://schemas.openxmlformats.org/officeDocument/2006/relationships/hyperlink" Id="rId78" Target="https://doi.org/10.1093/ofid/ofaa494" TargetMode="External" /><Relationship Type="http://schemas.openxmlformats.org/officeDocument/2006/relationships/hyperlink" Id="rId80" Target="https://doi.org/10.1098/rspb.2020.0496" TargetMode="External" /><Relationship Type="http://schemas.openxmlformats.org/officeDocument/2006/relationships/hyperlink" Id="rId92" Target="https://doi.org/10.1111/j.1442-9993.2001.01070.pp.x" TargetMode="External" /><Relationship Type="http://schemas.openxmlformats.org/officeDocument/2006/relationships/hyperlink" Id="rId72" Target="https://doi.org/10.1126/science.aaa6146" TargetMode="External" /><Relationship Type="http://schemas.openxmlformats.org/officeDocument/2006/relationships/hyperlink" Id="rId76" Target="https://doi.org/10.12688/f1000research.9277.2" TargetMode="External" /><Relationship Type="http://schemas.openxmlformats.org/officeDocument/2006/relationships/hyperlink" Id="rId84" Target="https://doi.org/10.1371/journal.pone.0061217" TargetMode="External" /><Relationship Type="http://schemas.openxmlformats.org/officeDocument/2006/relationships/hyperlink" Id="rId100" Target="https://doi.org/10.18637/jss.v033.i01" TargetMode="External" /><Relationship Type="http://schemas.openxmlformats.org/officeDocument/2006/relationships/hyperlink" Id="rId102" Target="https://doi.org/10.18637/jss.v077.i01" TargetMode="External" /><Relationship Type="http://schemas.openxmlformats.org/officeDocument/2006/relationships/hyperlink" Id="rId90" Target="https://doi.org/10.2307/1942268" TargetMode="External" /><Relationship Type="http://schemas.openxmlformats.org/officeDocument/2006/relationships/hyperlink" Id="rId94" Target="https://igraph.org" TargetMode="External" /><Relationship Type="http://schemas.openxmlformats.org/officeDocument/2006/relationships/hyperlink" Id="rId98" Target="https://www.tidymodel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Microbial Diversity and Co-Occurrence Networks Across Five Major Body Sites in the Human Microbiome Project</dc:title>
  <dc:creator>Kexin Cui</dc:creator>
  <cp:keywords/>
  <dcterms:created xsi:type="dcterms:W3CDTF">2026-04-21T20:51:19Z</dcterms:created>
  <dcterms:modified xsi:type="dcterms:W3CDTF">2026-04-21T20:51:19Z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../../assets/dataanalysis-references.bib</vt:lpwstr>
  </property>
  <property fmtid="{D5CDD505-2E9C-101B-9397-08002B2CF9AE}" pid="5" name="by-author">
    <vt:lpwstr/>
  </property>
  <property fmtid="{D5CDD505-2E9C-101B-9397-08002B2CF9AE}" pid="6" name="csl">
    <vt:lpwstr>../../assets/american-journal-of-epidemiology.csl</vt:lpwstr>
  </property>
  <property fmtid="{D5CDD505-2E9C-101B-9397-08002B2CF9AE}" pid="7" name="date">
    <vt:lpwstr>2026-04-21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