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Association between Body Mass Index Variability and Subsequent Dementia Risk in Older Adults</w:t>
      </w:r>
    </w:p>
    <w:p>
      <w:pPr>
        <w:pStyle w:val="Author"/>
      </w:pPr>
      <w:r>
        <w:t xml:space="preserve">Liang Lai</w:t>
      </w:r>
    </w:p>
    <w:p>
      <w:pPr>
        <w:pStyle w:val="FirstParagraph"/>
      </w:pPr>
      <w:r>
        <w:rPr>
          <w:b/>
          <w:bCs/>
        </w:rPr>
        <w:t xml:space="preserve">Authors</w:t>
      </w:r>
    </w:p>
    <w:p>
      <w:pPr>
        <w:pStyle w:val="Compact"/>
        <w:numPr>
          <w:ilvl w:val="0"/>
          <w:numId w:val="1001"/>
        </w:numPr>
      </w:pPr>
      <w:r>
        <w:t xml:space="preserve">Liang Lai</w:t>
      </w:r>
      <m:oMath>
        <m:sSup>
          <m:e>
            <m:r>
              <m:t>​</m:t>
            </m:r>
          </m:e>
          <m:sup>
            <m:r>
              <m:t>1</m:t>
            </m:r>
            <m:r>
              <m:rPr>
                <m:sty m:val="p"/>
              </m:rPr>
              <m:t>,</m:t>
            </m:r>
            <m:r>
              <m:rPr>
                <m:sty m:val="p"/>
              </m:rPr>
              <m:t>*</m:t>
            </m:r>
          </m:sup>
        </m:sSup>
      </m:oMath>
    </w:p>
    <w:p>
      <w:pPr>
        <w:pStyle w:val="FirstParagraph"/>
      </w:pPr>
      <w:r>
        <w:rPr>
          <w:b/>
          <w:bCs/>
        </w:rPr>
        <w:t xml:space="preserve">Author affiliations</w:t>
      </w:r>
    </w:p>
    <w:p>
      <w:pPr>
        <w:pStyle w:val="Compact"/>
        <w:numPr>
          <w:ilvl w:val="0"/>
          <w:numId w:val="1002"/>
        </w:numPr>
      </w:pPr>
      <w:r>
        <w:t xml:space="preserve">College of Public Health, University of Georgia, Athens, GA, USA.</w:t>
      </w:r>
    </w:p>
    <w:p>
      <w:r>
        <w:br w:type="page"/>
      </w:r>
    </w:p>
    <w:bookmarkStart w:id="20" w:name="abstract"/>
    <w:p>
      <w:pPr>
        <w:pStyle w:val="Heading1"/>
      </w:pPr>
      <w:r>
        <w:t xml:space="preserve">1. Abstract</w:t>
      </w:r>
    </w:p>
    <w:p>
      <w:pPr>
        <w:pStyle w:val="FirstParagraph"/>
      </w:pPr>
      <w:r>
        <w:t xml:space="preserve">Planing</w:t>
      </w:r>
    </w:p>
    <w:p>
      <w:r>
        <w:br w:type="page"/>
      </w:r>
    </w:p>
    <w:bookmarkEnd w:id="20"/>
    <w:bookmarkStart w:id="24" w:name="introduction"/>
    <w:p>
      <w:pPr>
        <w:pStyle w:val="Heading1"/>
      </w:pPr>
      <w:r>
        <w:t xml:space="preserve">2. Introduction</w:t>
      </w:r>
    </w:p>
    <w:bookmarkStart w:id="21" w:name="general-background-information"/>
    <w:p>
      <w:pPr>
        <w:pStyle w:val="Heading2"/>
      </w:pPr>
      <w:r>
        <w:t xml:space="preserve">2.1 General Background Information</w:t>
      </w:r>
    </w:p>
    <w:p>
      <w:pPr>
        <w:pStyle w:val="FirstParagraph"/>
      </w:pPr>
      <w:r>
        <w:t xml:space="preserve">Mid-life high body mass index (BMI) has been linked to poorer cognitive performance, faster cognitive decline, and higher risk of dementia in later life, but little is known about whether a more unstable BMI over time is associated with worse cognitive outcomes. This study investigated the relationship between long-term BMI variability (BMIV) and dementia risk in older adults in the US.</w:t>
      </w:r>
    </w:p>
    <w:bookmarkEnd w:id="21"/>
    <w:bookmarkStart w:id="22" w:name="description-of-data-and-data-source"/>
    <w:p>
      <w:pPr>
        <w:pStyle w:val="Heading2"/>
      </w:pPr>
      <w:r>
        <w:t xml:space="preserve">2.2 Description of data and data source</w:t>
      </w:r>
    </w:p>
    <w:p>
      <w:pPr>
        <w:pStyle w:val="FirstParagraph"/>
      </w:pPr>
      <w:r>
        <w:t xml:space="preserve">We will use data from the Health and Retirement Study (HRS), a nationally representative longitudinal survey of U.S. adults aged 50+, with biennial follow-up. The study period spans 1996–2020 (up to 13 waves). HRS collects repeated measures on demographics, socioeconomic status, health behaviors, and health conditions, and includes cognitive assessments that allow dementia classification. Cognitive status was classified using the Langa-Weir algorithm, which categorizes respondents into normal cognition, cognitive impairment no dementia (CIND), and dementia based on cognitive test scores.</w:t>
      </w:r>
    </w:p>
    <w:bookmarkEnd w:id="22"/>
    <w:bookmarkStart w:id="23" w:name="questionshypotheses-to-be-addressed"/>
    <w:p>
      <w:pPr>
        <w:pStyle w:val="Heading2"/>
      </w:pPr>
      <w:r>
        <w:t xml:space="preserve">2.3 Questions/Hypotheses to be addressed</w:t>
      </w:r>
    </w:p>
    <w:p>
      <w:pPr>
        <w:pStyle w:val="FirstParagraph"/>
      </w:pPr>
      <w:r>
        <w:t xml:space="preserve">Primary research question: Is greater long-term BMI variability associated with a higher risk of incident dementia among U.S. adults aged 50+?</w:t>
      </w:r>
    </w:p>
    <w:p>
      <w:pPr>
        <w:pStyle w:val="BodyText"/>
      </w:pPr>
      <w:r>
        <w:t xml:space="preserve">We hypothesize that higher BMI variability will be associated with an increased risk of dementia.</w:t>
      </w:r>
    </w:p>
    <w:p>
      <w:r>
        <w:br w:type="page"/>
      </w:r>
    </w:p>
    <w:bookmarkEnd w:id="23"/>
    <w:bookmarkEnd w:id="24"/>
    <w:bookmarkStart w:id="29" w:name="methods"/>
    <w:p>
      <w:pPr>
        <w:pStyle w:val="Heading1"/>
      </w:pPr>
      <w:r>
        <w:t xml:space="preserve">3. Methods</w:t>
      </w:r>
    </w:p>
    <w:bookmarkStart w:id="25" w:name="study-design-and-landmark-analysis"/>
    <w:p>
      <w:pPr>
        <w:pStyle w:val="Heading2"/>
      </w:pPr>
      <w:r>
        <w:t xml:space="preserve">3.1 Study Design and Landmark Analysis</w:t>
      </w:r>
    </w:p>
    <w:p>
      <w:pPr>
        <w:pStyle w:val="FirstParagraph"/>
      </w:pPr>
      <w:r>
        <w:t xml:space="preserve">We applied a landmark analysis design with the landmark set at wave 3 (year 2000). This approach defines a fixed time point at which exposure is measured and from which follow-up for the outcome begins, thereby avoiding immortal time bias and ensuring that exposure precedes outcome ascertainment.</w:t>
      </w:r>
    </w:p>
    <w:bookmarkEnd w:id="25"/>
    <w:bookmarkStart w:id="26" w:name="exposure-bmi-variability"/>
    <w:p>
      <w:pPr>
        <w:pStyle w:val="Heading2"/>
      </w:pPr>
      <w:r>
        <w:t xml:space="preserve">3.2 Exposure: BMI Variability</w:t>
      </w:r>
    </w:p>
    <w:p>
      <w:pPr>
        <w:pStyle w:val="FirstParagraph"/>
      </w:pPr>
      <w:r>
        <w:t xml:space="preserve">The primary exposure was long-term BMI variability, defined as the coefficient of variation (CV%) of repeated BMI measurements across waves 1–3 (1996–2000). The CV% is calculated as the standard deviation of BMI divided by the mean BMI, multiplied by 100:</w:t>
      </w:r>
    </w:p>
    <w:p>
      <w:pPr>
        <w:pStyle w:val="BodyText"/>
      </w:pPr>
      <m:oMathPara>
        <m:oMathParaPr>
          <m:jc m:val="center"/>
        </m:oMathParaPr>
        <m:oMath>
          <m:r>
            <m:t>C</m:t>
          </m:r>
          <m:r>
            <m:t>V</m:t>
          </m:r>
          <m:r>
            <m:rPr>
              <m:sty m:val="p"/>
            </m:rPr>
            <m:t>%</m:t>
          </m:r>
          <m:r>
            <m:rPr>
              <m:sty m:val="p"/>
            </m:rPr>
            <m:t>=</m:t>
          </m:r>
          <m:f>
            <m:fPr>
              <m:type m:val="bar"/>
            </m:fPr>
            <m:num>
              <m:r>
                <m:t>S</m:t>
              </m:r>
              <m:r>
                <m:t>D</m:t>
              </m:r>
              <m:d>
                <m:dPr>
                  <m:begChr m:val="("/>
                  <m:sepChr m:val=""/>
                  <m:endChr m:val=")"/>
                  <m:grow/>
                </m:dPr>
                <m:e>
                  <m:r>
                    <m:rPr>
                      <m:nor/>
                      <m:sty m:val="p"/>
                    </m:rPr>
                    <m:t>BMI</m:t>
                  </m:r>
                </m:e>
              </m:d>
            </m:num>
            <m:den>
              <m:acc>
                <m:accPr>
                  <m:chr m:val="‾"/>
                </m:accPr>
                <m:e>
                  <m:r>
                    <m:rPr>
                      <m:nor/>
                      <m:sty m:val="p"/>
                    </m:rPr>
                    <m:t>BMI</m:t>
                  </m:r>
                </m:e>
              </m:acc>
            </m:den>
          </m:f>
          <m:r>
            <m:rPr>
              <m:sty m:val="p"/>
            </m:rPr>
            <m:t>×</m:t>
          </m:r>
          <m:r>
            <m:t>100</m:t>
          </m:r>
        </m:oMath>
      </m:oMathPara>
    </w:p>
    <w:p>
      <w:pPr>
        <w:pStyle w:val="FirstParagraph"/>
      </w:pPr>
      <w:r>
        <w:t xml:space="preserve">To handle missing BMI values within the exposure window, we applied linear interpolation across waves.</w:t>
      </w:r>
      <w:r>
        <w:t xml:space="preserve"> </w:t>
      </w:r>
      <w:r>
        <w:t xml:space="preserve">BMI CV% was examined both as a continuous variable and categorized into tertiles (low, medium, and high variability). Tertile cutpoints were derived from the W9 window distribution (the longest available follow-up window, spanning 1996–2012) to ensure consistent classification thresholds across all wave windows.</w:t>
      </w:r>
    </w:p>
    <w:bookmarkEnd w:id="26"/>
    <w:bookmarkStart w:id="27" w:name="outcome"/>
    <w:p>
      <w:pPr>
        <w:pStyle w:val="Heading2"/>
      </w:pPr>
      <w:r>
        <w:t xml:space="preserve">3.3 Outcome</w:t>
      </w:r>
    </w:p>
    <w:p>
      <w:pPr>
        <w:pStyle w:val="FirstParagraph"/>
      </w:pPr>
      <w:r>
        <w:t xml:space="preserve">The primary outcome was incident dementia, defined as the first wave at which a participant was classified as</w:t>
      </w:r>
      <w:r>
        <w:t xml:space="preserve"> </w:t>
      </w:r>
      <w:r>
        <w:t xml:space="preserve">“Demented”</w:t>
      </w:r>
      <w:r>
        <w:t xml:space="preserve"> </w:t>
      </w:r>
      <w:r>
        <w:t xml:space="preserve">by the Langa-Weir algorithm following the landmark wave (2000). Once a dementia event was recorded subsequent observations for that individual were truncated.</w:t>
      </w:r>
    </w:p>
    <w:bookmarkEnd w:id="27"/>
    <w:bookmarkStart w:id="28" w:name="statistical-analysis"/>
    <w:p>
      <w:pPr>
        <w:pStyle w:val="Heading2"/>
      </w:pPr>
      <w:r>
        <w:t xml:space="preserve">3.4 Statistical analysis</w:t>
      </w:r>
    </w:p>
    <w:p>
      <w:pPr>
        <w:pStyle w:val="FirstParagraph"/>
      </w:pPr>
      <w:r>
        <w:t xml:space="preserve">Baseline characteristics of the study population were summarized overall and stratified by BMI variability tertile group. Continuous variables are presented as mean (standard deviation) and categorical variables as count (percentage).</w:t>
      </w:r>
    </w:p>
    <w:p>
      <w:pPr>
        <w:pStyle w:val="BodyText"/>
      </w:pPr>
      <w:r>
        <w:t xml:space="preserve">We used Cox proportional hazards regression models to estimate hazard ratios (HRs) and 95% confidence intervals (CIs) for the association between BMI variability (both continuous and categorical) and incident dementia. The time scale was years since the landmark wave (2000). Model 1 was unadjusted, Model 2 adjusted for demographics, socioeconomic status, and health behaviors, and Model 3 is categorical BMI variability adjusted for the same covariates. We assessed the proportional hazards assumption using Schoenfeld residuals and found no violations.</w:t>
      </w:r>
    </w:p>
    <w:p>
      <w:r>
        <w:br w:type="page"/>
      </w:r>
    </w:p>
    <w:bookmarkEnd w:id="28"/>
    <w:bookmarkEnd w:id="29"/>
    <w:bookmarkStart w:id="47" w:name="results"/>
    <w:p>
      <w:pPr>
        <w:pStyle w:val="Heading1"/>
      </w:pPr>
      <w:r>
        <w:t xml:space="preserve">4. Results</w:t>
      </w:r>
    </w:p>
    <w:bookmarkStart w:id="43" w:name="descriptive-analysis"/>
    <w:p>
      <w:pPr>
        <w:pStyle w:val="Heading2"/>
      </w:pPr>
      <w:r>
        <w:t xml:space="preserve">4.1 Descriptive analysis</w:t>
      </w:r>
    </w:p>
    <w:p>
      <w:pPr>
        <w:pStyle w:val="FirstParagraph"/>
      </w:pPr>
      <w:r>
        <w:t xml:space="preserve">In the overall study population at the 1996 wave, the mean age was 60.0 years (SD = 4.7), and the mean baseline BMI was 27.3 kg/m² (SD = 5.2). Slightly more than half of the participants were female (53%), and most were Non-Hispanic White (73%). Overall, 89% of participants had health insurance, and the mean number of chronic conditions was 0.94 (SD = 1.01). At baseline, 41% of participants were overweight and 25% were obese.</w:t>
      </w:r>
    </w:p>
    <w:p>
      <w:pPr>
        <w:pStyle w:val="BodyText"/>
      </w:pPr>
      <w:hyperlink w:anchor="tbl-baseline-overall">
        <w:r>
          <w:rPr>
            <w:rStyle w:val="Hyperlink"/>
          </w:rPr>
          <w:t xml:space="preserve">Table 1</w:t>
        </w:r>
      </w:hyperlink>
      <w:r>
        <w:t xml:space="preserve"> </w:t>
      </w:r>
      <w:r>
        <w:t xml:space="preserve">summarizes the baseline characteristics of the study population at the 1996 wave.</w:t>
      </w:r>
    </w:p>
    <w:tbl>
      <w:tblPr>
        <w:tblStyle w:val="Table"/>
        <w:tblW w:type="pct" w:w="5000"/>
        <w:tblLayout w:type="fixed"/>
        <w:tblLook w:firstRow="0" w:lastRow="0" w:firstColumn="0" w:lastColumn="0" w:noHBand="0" w:noVBand="0" w:val="0000"/>
      </w:tblPr>
      <w:tblGrid>
        <w:gridCol w:w="7920"/>
      </w:tblGrid>
      <w:tr>
        <w:tc>
          <w:tcPr/>
          <w:bookmarkStart w:id="30" w:name="tbl-baseline-overall"/>
          <w:p>
            <w:pPr>
              <w:jc w:val="center"/>
            </w:pPr>
            <w:pPr>
              <w:jc w:val="left"/>
              <w:spacing w:before="200"/>
              <w:pStyle w:val="ImageCaption"/>
            </w:pPr>
            <w:r>
              <w:t xml:space="preserve">Table 1: Baseline characteristics of the overall study population.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rPr>
                      <w:b/>
                      <w:bCs/>
                    </w:rPr>
                    <w:t xml:space="preserve">Characteristic</w:t>
                  </w:r>
                </w:p>
              </w:tc>
              <w:tc>
                <w:tcPr/>
                <w:p>
                  <w:pPr>
                    <w:pStyle w:val="Compact"/>
                    <w:jc w:val="left"/>
                    <w:jc w:val="center"/>
                  </w:pPr>
                  <w:r>
                    <w:rPr>
                      <w:b/>
                      <w:bCs/>
                    </w:rPr>
                    <w:t xml:space="preserve">N = 10,317</w:t>
                  </w:r>
                </w:p>
              </w:tc>
            </w:tr>
            <w:tr>
              <w:tc>
                <w:tcPr/>
                <w:p>
                  <w:pPr>
                    <w:pStyle w:val="Compact"/>
                    <w:jc w:val="left"/>
                    <w:jc w:val="center"/>
                  </w:pPr>
                  <w:r>
                    <w:rPr>
                      <w:b/>
                      <w:bCs/>
                    </w:rPr>
                    <w:t xml:space="preserve">Age at baseline (years)</w:t>
                  </w:r>
                </w:p>
              </w:tc>
              <w:tc>
                <w:tcPr/>
                <w:p>
                  <w:pPr>
                    <w:pStyle w:val="Compact"/>
                    <w:jc w:val="left"/>
                    <w:jc w:val="center"/>
                  </w:pPr>
                  <w:r>
                    <w:t xml:space="preserve">60.0 (4.7)</w:t>
                  </w:r>
                </w:p>
              </w:tc>
            </w:tr>
            <w:tr>
              <w:tc>
                <w:tcPr/>
                <w:p>
                  <w:pPr>
                    <w:pStyle w:val="Compact"/>
                    <w:jc w:val="left"/>
                    <w:jc w:val="center"/>
                  </w:pPr>
                  <w:r>
                    <w:rPr>
                      <w:b/>
                      <w:bCs/>
                    </w:rPr>
                    <w:t xml:space="preserve">BMI at baseline (kg/m²)</w:t>
                  </w:r>
                </w:p>
              </w:tc>
              <w:tc>
                <w:tcPr/>
                <w:p>
                  <w:pPr>
                    <w:pStyle w:val="Compact"/>
                    <w:jc w:val="left"/>
                    <w:jc w:val="center"/>
                  </w:pPr>
                  <w:r>
                    <w:t xml:space="preserve">27.3 (5.2)</w:t>
                  </w:r>
                </w:p>
              </w:tc>
            </w:tr>
            <w:tr>
              <w:tc>
                <w:tcPr/>
                <w:p>
                  <w:pPr>
                    <w:pStyle w:val="Compact"/>
                    <w:jc w:val="left"/>
                    <w:jc w:val="center"/>
                  </w:pPr>
                  <w:r>
                    <w:rPr>
                      <w:b/>
                      <w:bCs/>
                    </w:rPr>
                    <w:t xml:space="preserve">Log household wealth</w:t>
                  </w:r>
                </w:p>
              </w:tc>
              <w:tc>
                <w:tcPr/>
                <w:p>
                  <w:pPr>
                    <w:pStyle w:val="Compact"/>
                    <w:jc w:val="left"/>
                    <w:jc w:val="center"/>
                  </w:pPr>
                  <w:r>
                    <w:t xml:space="preserve">11.2 (4.7)</w:t>
                  </w:r>
                </w:p>
              </w:tc>
            </w:tr>
            <w:tr>
              <w:tc>
                <w:tcPr/>
                <w:p>
                  <w:pPr>
                    <w:pStyle w:val="Compact"/>
                    <w:jc w:val="left"/>
                    <w:jc w:val="center"/>
                  </w:pPr>
                  <w:r>
                    <w:rPr>
                      <w:b/>
                      <w:bCs/>
                    </w:rPr>
                    <w:t xml:space="preserve">Log total income</w:t>
                  </w:r>
                </w:p>
              </w:tc>
              <w:tc>
                <w:tcPr/>
                <w:p>
                  <w:pPr>
                    <w:pStyle w:val="Compact"/>
                    <w:jc w:val="left"/>
                    <w:jc w:val="center"/>
                  </w:pPr>
                  <w:r>
                    <w:t xml:space="preserve">10.38 (1.46)</w:t>
                  </w:r>
                </w:p>
              </w:tc>
            </w:tr>
            <w:tr>
              <w:tc>
                <w:tcPr/>
                <w:p>
                  <w:pPr>
                    <w:pStyle w:val="Compact"/>
                    <w:jc w:val="left"/>
                    <w:jc w:val="center"/>
                  </w:pPr>
                  <w:r>
                    <w:rPr>
                      <w:b/>
                      <w:bCs/>
                    </w:rPr>
                    <w:t xml:space="preserve">Number of chronic conditions</w:t>
                  </w:r>
                </w:p>
              </w:tc>
              <w:tc>
                <w:tcPr/>
                <w:p>
                  <w:pPr>
                    <w:pStyle w:val="Compact"/>
                    <w:jc w:val="left"/>
                    <w:jc w:val="center"/>
                  </w:pPr>
                  <w:r>
                    <w:t xml:space="preserve">0.94 (1.01)</w:t>
                  </w:r>
                </w:p>
              </w:tc>
            </w:tr>
            <w:tr>
              <w:tc>
                <w:tcPr/>
                <w:p>
                  <w:pPr>
                    <w:pStyle w:val="Compact"/>
                    <w:jc w:val="left"/>
                    <w:jc w:val="center"/>
                  </w:pPr>
                  <w:r>
                    <w:rPr>
                      <w:b/>
                      <w:bCs/>
                    </w:rPr>
                    <w:t xml:space="preserve">Gender</w:t>
                  </w:r>
                </w:p>
              </w:tc>
              <w:tc>
                <w:tcPr/>
                <w:p>
                  <w:pPr>
                    <w:pStyle w:val="Compact"/>
                    <w:jc w:val="left"/>
                    <w:jc w:val="center"/>
                  </w:pPr>
                  <w:r>
                    <w:t xml:space="preserve">NA</w:t>
                  </w:r>
                </w:p>
              </w:tc>
            </w:tr>
            <w:tr>
              <w:tc>
                <w:tcPr/>
                <w:p>
                  <w:pPr>
                    <w:pStyle w:val="Compact"/>
                    <w:jc w:val="left"/>
                    <w:jc w:val="center"/>
                  </w:pPr>
                  <w:r>
                    <w:t xml:space="preserve">Male</w:t>
                  </w:r>
                </w:p>
              </w:tc>
              <w:tc>
                <w:tcPr/>
                <w:p>
                  <w:pPr>
                    <w:pStyle w:val="Compact"/>
                    <w:jc w:val="left"/>
                    <w:jc w:val="center"/>
                  </w:pPr>
                  <w:r>
                    <w:t xml:space="preserve">4,896 (47%)</w:t>
                  </w:r>
                </w:p>
              </w:tc>
            </w:tr>
            <w:tr>
              <w:tc>
                <w:tcPr/>
                <w:p>
                  <w:pPr>
                    <w:pStyle w:val="Compact"/>
                    <w:jc w:val="left"/>
                    <w:jc w:val="center"/>
                  </w:pPr>
                  <w:r>
                    <w:t xml:space="preserve">Female</w:t>
                  </w:r>
                </w:p>
              </w:tc>
              <w:tc>
                <w:tcPr/>
                <w:p>
                  <w:pPr>
                    <w:pStyle w:val="Compact"/>
                    <w:jc w:val="left"/>
                    <w:jc w:val="center"/>
                  </w:pPr>
                  <w:r>
                    <w:t xml:space="preserve">5,421 (53%)</w:t>
                  </w:r>
                </w:p>
              </w:tc>
            </w:tr>
            <w:tr>
              <w:tc>
                <w:tcPr/>
                <w:p>
                  <w:pPr>
                    <w:pStyle w:val="Compact"/>
                    <w:jc w:val="left"/>
                    <w:jc w:val="center"/>
                  </w:pPr>
                  <w:r>
                    <w:rPr>
                      <w:b/>
                      <w:bCs/>
                    </w:rPr>
                    <w:t xml:space="preserve">Race/Ethnicity</w:t>
                  </w:r>
                </w:p>
              </w:tc>
              <w:tc>
                <w:tcPr/>
                <w:p>
                  <w:pPr>
                    <w:pStyle w:val="Compact"/>
                    <w:jc w:val="left"/>
                    <w:jc w:val="center"/>
                  </w:pPr>
                  <w:r>
                    <w:t xml:space="preserve">NA</w:t>
                  </w:r>
                </w:p>
              </w:tc>
            </w:tr>
            <w:tr>
              <w:tc>
                <w:tcPr/>
                <w:p>
                  <w:pPr>
                    <w:pStyle w:val="Compact"/>
                    <w:jc w:val="left"/>
                    <w:jc w:val="center"/>
                  </w:pPr>
                  <w:r>
                    <w:t xml:space="preserve">Non-Hispanic White</w:t>
                  </w:r>
                </w:p>
              </w:tc>
              <w:tc>
                <w:tcPr/>
                <w:p>
                  <w:pPr>
                    <w:pStyle w:val="Compact"/>
                    <w:jc w:val="left"/>
                    <w:jc w:val="center"/>
                  </w:pPr>
                  <w:r>
                    <w:t xml:space="preserve">7,569 (73%)</w:t>
                  </w:r>
                </w:p>
              </w:tc>
            </w:tr>
            <w:tr>
              <w:tc>
                <w:tcPr/>
                <w:p>
                  <w:pPr>
                    <w:pStyle w:val="Compact"/>
                    <w:jc w:val="left"/>
                    <w:jc w:val="center"/>
                  </w:pPr>
                  <w:r>
                    <w:t xml:space="preserve">Non-Hispanic Black</w:t>
                  </w:r>
                </w:p>
              </w:tc>
              <w:tc>
                <w:tcPr/>
                <w:p>
                  <w:pPr>
                    <w:pStyle w:val="Compact"/>
                    <w:jc w:val="left"/>
                    <w:jc w:val="center"/>
                  </w:pPr>
                  <w:r>
                    <w:t xml:space="preserve">1,621 (16%)</w:t>
                  </w:r>
                </w:p>
              </w:tc>
            </w:tr>
            <w:tr>
              <w:tc>
                <w:tcPr/>
                <w:p>
                  <w:pPr>
                    <w:pStyle w:val="Compact"/>
                    <w:jc w:val="left"/>
                    <w:jc w:val="center"/>
                  </w:pPr>
                  <w:r>
                    <w:t xml:space="preserve">Hispanic or Other</w:t>
                  </w:r>
                </w:p>
              </w:tc>
              <w:tc>
                <w:tcPr/>
                <w:p>
                  <w:pPr>
                    <w:pStyle w:val="Compact"/>
                    <w:jc w:val="left"/>
                    <w:jc w:val="center"/>
                  </w:pPr>
                  <w:r>
                    <w:t xml:space="preserve">1,116 (11%)</w:t>
                  </w:r>
                </w:p>
              </w:tc>
            </w:tr>
            <w:tr>
              <w:tc>
                <w:tcPr/>
                <w:p>
                  <w:pPr>
                    <w:pStyle w:val="Compact"/>
                    <w:jc w:val="left"/>
                    <w:jc w:val="center"/>
                  </w:pPr>
                  <w:r>
                    <w:rPr>
                      <w:b/>
                      <w:bCs/>
                    </w:rPr>
                    <w:t xml:space="preserve">Education</w:t>
                  </w:r>
                </w:p>
              </w:tc>
              <w:tc>
                <w:tcPr/>
                <w:p>
                  <w:pPr>
                    <w:pStyle w:val="Compact"/>
                    <w:jc w:val="left"/>
                    <w:jc w:val="center"/>
                  </w:pPr>
                  <w:r>
                    <w:t xml:space="preserve">NA</w:t>
                  </w:r>
                </w:p>
              </w:tc>
            </w:tr>
            <w:tr>
              <w:tc>
                <w:tcPr/>
                <w:p>
                  <w:pPr>
                    <w:pStyle w:val="Compact"/>
                    <w:jc w:val="left"/>
                    <w:jc w:val="center"/>
                  </w:pPr>
                  <w:r>
                    <w:t xml:space="preserve">Less than high school</w:t>
                  </w:r>
                </w:p>
              </w:tc>
              <w:tc>
                <w:tcPr/>
                <w:p>
                  <w:pPr>
                    <w:pStyle w:val="Compact"/>
                    <w:jc w:val="left"/>
                    <w:jc w:val="center"/>
                  </w:pPr>
                  <w:r>
                    <w:t xml:space="preserve">2,687 (26%)</w:t>
                  </w:r>
                </w:p>
              </w:tc>
            </w:tr>
            <w:tr>
              <w:tc>
                <w:tcPr/>
                <w:p>
                  <w:pPr>
                    <w:pStyle w:val="Compact"/>
                    <w:jc w:val="left"/>
                    <w:jc w:val="center"/>
                  </w:pPr>
                  <w:r>
                    <w:t xml:space="preserve">GED</w:t>
                  </w:r>
                </w:p>
              </w:tc>
              <w:tc>
                <w:tcPr/>
                <w:p>
                  <w:pPr>
                    <w:pStyle w:val="Compact"/>
                    <w:jc w:val="left"/>
                    <w:jc w:val="center"/>
                  </w:pPr>
                  <w:r>
                    <w:t xml:space="preserve">525 (5.1%)</w:t>
                  </w:r>
                </w:p>
              </w:tc>
            </w:tr>
            <w:tr>
              <w:tc>
                <w:tcPr/>
                <w:p>
                  <w:pPr>
                    <w:pStyle w:val="Compact"/>
                    <w:jc w:val="left"/>
                    <w:jc w:val="center"/>
                  </w:pPr>
                  <w:r>
                    <w:t xml:space="preserve">High school graduate</w:t>
                  </w:r>
                </w:p>
              </w:tc>
              <w:tc>
                <w:tcPr/>
                <w:p>
                  <w:pPr>
                    <w:pStyle w:val="Compact"/>
                    <w:jc w:val="left"/>
                    <w:jc w:val="center"/>
                  </w:pPr>
                  <w:r>
                    <w:t xml:space="preserve">3,326 (32%)</w:t>
                  </w:r>
                </w:p>
              </w:tc>
            </w:tr>
            <w:tr>
              <w:tc>
                <w:tcPr/>
                <w:p>
                  <w:pPr>
                    <w:pStyle w:val="Compact"/>
                    <w:jc w:val="left"/>
                    <w:jc w:val="center"/>
                  </w:pPr>
                  <w:r>
                    <w:t xml:space="preserve">College or above</w:t>
                  </w:r>
                </w:p>
              </w:tc>
              <w:tc>
                <w:tcPr/>
                <w:p>
                  <w:pPr>
                    <w:pStyle w:val="Compact"/>
                    <w:jc w:val="left"/>
                    <w:jc w:val="center"/>
                  </w:pPr>
                  <w:r>
                    <w:t xml:space="preserve">3,774 (37%)</w:t>
                  </w:r>
                </w:p>
              </w:tc>
            </w:tr>
            <w:tr>
              <w:tc>
                <w:tcPr/>
                <w:p>
                  <w:pPr>
                    <w:pStyle w:val="Compact"/>
                    <w:jc w:val="left"/>
                    <w:jc w:val="center"/>
                  </w:pPr>
                  <w:r>
                    <w:rPr>
                      <w:b/>
                      <w:bCs/>
                    </w:rPr>
                    <w:t xml:space="preserve">Health insurance</w:t>
                  </w:r>
                </w:p>
              </w:tc>
              <w:tc>
                <w:tcPr/>
                <w:p>
                  <w:pPr>
                    <w:pStyle w:val="Compact"/>
                    <w:jc w:val="left"/>
                    <w:jc w:val="center"/>
                  </w:pPr>
                  <w:r>
                    <w:t xml:space="preserve">NA</w:t>
                  </w:r>
                </w:p>
              </w:tc>
            </w:tr>
            <w:tr>
              <w:tc>
                <w:tcPr/>
                <w:p>
                  <w:pPr>
                    <w:pStyle w:val="Compact"/>
                    <w:jc w:val="left"/>
                    <w:jc w:val="center"/>
                  </w:pPr>
                  <w:r>
                    <w:t xml:space="preserve">No insurance</w:t>
                  </w:r>
                </w:p>
              </w:tc>
              <w:tc>
                <w:tcPr/>
                <w:p>
                  <w:pPr>
                    <w:pStyle w:val="Compact"/>
                    <w:jc w:val="left"/>
                    <w:jc w:val="center"/>
                  </w:pPr>
                  <w:r>
                    <w:t xml:space="preserve">1,088 (11%)</w:t>
                  </w:r>
                </w:p>
              </w:tc>
            </w:tr>
            <w:tr>
              <w:tc>
                <w:tcPr/>
                <w:p>
                  <w:pPr>
                    <w:pStyle w:val="Compact"/>
                    <w:jc w:val="left"/>
                    <w:jc w:val="center"/>
                  </w:pPr>
                  <w:r>
                    <w:t xml:space="preserve">Has insurance</w:t>
                  </w:r>
                </w:p>
              </w:tc>
              <w:tc>
                <w:tcPr/>
                <w:p>
                  <w:pPr>
                    <w:pStyle w:val="Compact"/>
                    <w:jc w:val="left"/>
                    <w:jc w:val="center"/>
                  </w:pPr>
                  <w:r>
                    <w:t xml:space="preserve">9,177 (89%)</w:t>
                  </w:r>
                </w:p>
              </w:tc>
            </w:tr>
            <w:tr>
              <w:tc>
                <w:tcPr/>
                <w:p>
                  <w:pPr>
                    <w:pStyle w:val="Compact"/>
                    <w:jc w:val="left"/>
                    <w:jc w:val="center"/>
                  </w:pPr>
                  <w:r>
                    <w:rPr>
                      <w:b/>
                      <w:bCs/>
                    </w:rPr>
                    <w:t xml:space="preserve">Employment status</w:t>
                  </w:r>
                </w:p>
              </w:tc>
              <w:tc>
                <w:tcPr/>
                <w:p>
                  <w:pPr>
                    <w:pStyle w:val="Compact"/>
                    <w:jc w:val="left"/>
                    <w:jc w:val="center"/>
                  </w:pPr>
                  <w:r>
                    <w:t xml:space="preserve">NA</w:t>
                  </w:r>
                </w:p>
              </w:tc>
            </w:tr>
            <w:tr>
              <w:tc>
                <w:tcPr/>
                <w:p>
                  <w:pPr>
                    <w:pStyle w:val="Compact"/>
                    <w:jc w:val="left"/>
                    <w:jc w:val="center"/>
                  </w:pPr>
                  <w:r>
                    <w:t xml:space="preserve">Employed (FT/PT)</w:t>
                  </w:r>
                </w:p>
              </w:tc>
              <w:tc>
                <w:tcPr/>
                <w:p>
                  <w:pPr>
                    <w:pStyle w:val="Compact"/>
                    <w:jc w:val="left"/>
                    <w:jc w:val="center"/>
                  </w:pPr>
                  <w:r>
                    <w:t xml:space="preserve">4,949 (48%)</w:t>
                  </w:r>
                </w:p>
              </w:tc>
            </w:tr>
            <w:tr>
              <w:tc>
                <w:tcPr/>
                <w:p>
                  <w:pPr>
                    <w:pStyle w:val="Compact"/>
                    <w:jc w:val="left"/>
                    <w:jc w:val="center"/>
                  </w:pPr>
                  <w:r>
                    <w:t xml:space="preserve">Unemployed/Not in labor force</w:t>
                  </w:r>
                </w:p>
              </w:tc>
              <w:tc>
                <w:tcPr/>
                <w:p>
                  <w:pPr>
                    <w:pStyle w:val="Compact"/>
                    <w:jc w:val="left"/>
                    <w:jc w:val="center"/>
                  </w:pPr>
                  <w:r>
                    <w:t xml:space="preserve">1,122 (11%)</w:t>
                  </w:r>
                </w:p>
              </w:tc>
            </w:tr>
            <w:tr>
              <w:tc>
                <w:tcPr/>
                <w:p>
                  <w:pPr>
                    <w:pStyle w:val="Compact"/>
                    <w:jc w:val="left"/>
                    <w:jc w:val="center"/>
                  </w:pPr>
                  <w:r>
                    <w:t xml:space="preserve">Retired</w:t>
                  </w:r>
                </w:p>
              </w:tc>
              <w:tc>
                <w:tcPr/>
                <w:p>
                  <w:pPr>
                    <w:pStyle w:val="Compact"/>
                    <w:jc w:val="left"/>
                    <w:jc w:val="center"/>
                  </w:pPr>
                  <w:r>
                    <w:t xml:space="preserve">3,748 (36%)</w:t>
                  </w:r>
                </w:p>
              </w:tc>
            </w:tr>
            <w:tr>
              <w:tc>
                <w:tcPr/>
                <w:p>
                  <w:pPr>
                    <w:pStyle w:val="Compact"/>
                    <w:jc w:val="left"/>
                    <w:jc w:val="center"/>
                  </w:pPr>
                  <w:r>
                    <w:t xml:space="preserve">Disabled</w:t>
                  </w:r>
                </w:p>
              </w:tc>
              <w:tc>
                <w:tcPr/>
                <w:p>
                  <w:pPr>
                    <w:pStyle w:val="Compact"/>
                    <w:jc w:val="left"/>
                    <w:jc w:val="center"/>
                  </w:pPr>
                  <w:r>
                    <w:t xml:space="preserve">498 (4.8%)</w:t>
                  </w:r>
                </w:p>
              </w:tc>
            </w:tr>
            <w:tr>
              <w:tc>
                <w:tcPr/>
                <w:p>
                  <w:pPr>
                    <w:pStyle w:val="Compact"/>
                    <w:jc w:val="left"/>
                    <w:jc w:val="center"/>
                  </w:pPr>
                  <w:r>
                    <w:rPr>
                      <w:b/>
                      <w:bCs/>
                    </w:rPr>
                    <w:t xml:space="preserve">Smoking status</w:t>
                  </w:r>
                </w:p>
              </w:tc>
              <w:tc>
                <w:tcPr/>
                <w:p>
                  <w:pPr>
                    <w:pStyle w:val="Compact"/>
                    <w:jc w:val="left"/>
                    <w:jc w:val="center"/>
                  </w:pPr>
                  <w:r>
                    <w:t xml:space="preserve">NA</w:t>
                  </w:r>
                </w:p>
              </w:tc>
            </w:tr>
            <w:tr>
              <w:tc>
                <w:tcPr/>
                <w:p>
                  <w:pPr>
                    <w:pStyle w:val="Compact"/>
                    <w:jc w:val="left"/>
                    <w:jc w:val="center"/>
                  </w:pPr>
                  <w:r>
                    <w:t xml:space="preserve">Never smoker</w:t>
                  </w:r>
                </w:p>
              </w:tc>
              <w:tc>
                <w:tcPr/>
                <w:p>
                  <w:pPr>
                    <w:pStyle w:val="Compact"/>
                    <w:jc w:val="left"/>
                    <w:jc w:val="center"/>
                  </w:pPr>
                  <w:r>
                    <w:t xml:space="preserve">3,695 (36%)</w:t>
                  </w:r>
                </w:p>
              </w:tc>
            </w:tr>
            <w:tr>
              <w:tc>
                <w:tcPr/>
                <w:p>
                  <w:pPr>
                    <w:pStyle w:val="Compact"/>
                    <w:jc w:val="left"/>
                    <w:jc w:val="center"/>
                  </w:pPr>
                  <w:r>
                    <w:t xml:space="preserve">Ever/Current smoker</w:t>
                  </w:r>
                </w:p>
              </w:tc>
              <w:tc>
                <w:tcPr/>
                <w:p>
                  <w:pPr>
                    <w:pStyle w:val="Compact"/>
                    <w:jc w:val="left"/>
                    <w:jc w:val="center"/>
                  </w:pPr>
                  <w:r>
                    <w:t xml:space="preserve">6,470 (64%)</w:t>
                  </w:r>
                </w:p>
              </w:tc>
            </w:tr>
            <w:tr>
              <w:tc>
                <w:tcPr/>
                <w:p>
                  <w:pPr>
                    <w:pStyle w:val="Compact"/>
                    <w:jc w:val="left"/>
                    <w:jc w:val="center"/>
                  </w:pPr>
                  <w:r>
                    <w:rPr>
                      <w:b/>
                      <w:bCs/>
                    </w:rPr>
                    <w:t xml:space="preserve">Depression</w:t>
                  </w:r>
                </w:p>
              </w:tc>
              <w:tc>
                <w:tcPr/>
                <w:p>
                  <w:pPr>
                    <w:pStyle w:val="Compact"/>
                    <w:jc w:val="left"/>
                    <w:jc w:val="center"/>
                  </w:pPr>
                  <w:r>
                    <w:t xml:space="preserve">1,356 (14%)</w:t>
                  </w:r>
                </w:p>
              </w:tc>
            </w:tr>
            <w:tr>
              <w:tc>
                <w:tcPr/>
                <w:p>
                  <w:pPr>
                    <w:pStyle w:val="Compact"/>
                    <w:jc w:val="left"/>
                    <w:jc w:val="center"/>
                  </w:pPr>
                  <w:r>
                    <w:rPr>
                      <w:b/>
                      <w:bCs/>
                    </w:rPr>
                    <w:t xml:space="preserve">BMI category</w:t>
                  </w:r>
                </w:p>
              </w:tc>
              <w:tc>
                <w:tcPr/>
                <w:p>
                  <w:pPr>
                    <w:pStyle w:val="Compact"/>
                    <w:jc w:val="left"/>
                    <w:jc w:val="center"/>
                  </w:pPr>
                  <w:r>
                    <w:t xml:space="preserve">NA</w:t>
                  </w:r>
                </w:p>
              </w:tc>
            </w:tr>
            <w:tr>
              <w:tc>
                <w:tcPr/>
                <w:p>
                  <w:pPr>
                    <w:pStyle w:val="Compact"/>
                    <w:jc w:val="left"/>
                    <w:jc w:val="center"/>
                  </w:pPr>
                  <w:r>
                    <w:t xml:space="preserve">Thin (&lt;18.5)</w:t>
                  </w:r>
                </w:p>
              </w:tc>
              <w:tc>
                <w:tcPr/>
                <w:p>
                  <w:pPr>
                    <w:pStyle w:val="Compact"/>
                    <w:jc w:val="left"/>
                    <w:jc w:val="center"/>
                  </w:pPr>
                  <w:r>
                    <w:t xml:space="preserve">124 (1.2%)</w:t>
                  </w:r>
                </w:p>
              </w:tc>
            </w:tr>
            <w:tr>
              <w:tc>
                <w:tcPr/>
                <w:p>
                  <w:pPr>
                    <w:pStyle w:val="Compact"/>
                    <w:jc w:val="left"/>
                    <w:jc w:val="center"/>
                  </w:pPr>
                  <w:r>
                    <w:t xml:space="preserve">Normal (18.5-24.9)</w:t>
                  </w:r>
                </w:p>
              </w:tc>
              <w:tc>
                <w:tcPr/>
                <w:p>
                  <w:pPr>
                    <w:pStyle w:val="Compact"/>
                    <w:jc w:val="left"/>
                    <w:jc w:val="center"/>
                  </w:pPr>
                  <w:r>
                    <w:t xml:space="preserve">3,328 (32%)</w:t>
                  </w:r>
                </w:p>
              </w:tc>
            </w:tr>
            <w:tr>
              <w:tc>
                <w:tcPr/>
                <w:p>
                  <w:pPr>
                    <w:pStyle w:val="Compact"/>
                    <w:jc w:val="left"/>
                    <w:jc w:val="center"/>
                  </w:pPr>
                  <w:r>
                    <w:t xml:space="preserve">Overweight (25.0-29.9)</w:t>
                  </w:r>
                </w:p>
              </w:tc>
              <w:tc>
                <w:tcPr/>
                <w:p>
                  <w:pPr>
                    <w:pStyle w:val="Compact"/>
                    <w:jc w:val="left"/>
                    <w:jc w:val="center"/>
                  </w:pPr>
                  <w:r>
                    <w:t xml:space="preserve">4,242 (41%)</w:t>
                  </w:r>
                </w:p>
              </w:tc>
            </w:tr>
            <w:tr>
              <w:tc>
                <w:tcPr/>
                <w:p>
                  <w:pPr>
                    <w:pStyle w:val="Compact"/>
                    <w:jc w:val="left"/>
                    <w:jc w:val="center"/>
                  </w:pPr>
                  <w:r>
                    <w:t xml:space="preserve">Obese (&gt;=30.0)</w:t>
                  </w:r>
                </w:p>
              </w:tc>
              <w:tc>
                <w:tcPr/>
                <w:p>
                  <w:pPr>
                    <w:pStyle w:val="Compact"/>
                    <w:jc w:val="left"/>
                    <w:jc w:val="center"/>
                  </w:pPr>
                  <w:r>
                    <w:t xml:space="preserve">2,623 (25%)</w:t>
                  </w:r>
                </w:p>
              </w:tc>
            </w:tr>
          </w:tbl>
          <w:bookmarkEnd w:id="30"/>
          <w:p/>
        </w:tc>
      </w:tr>
    </w:tbl>
    <w:p>
      <w:pPr>
        <w:pStyle w:val="BodyText"/>
      </w:pPr>
      <w:r>
        <w:t xml:space="preserve">Across study waves, the number of observations gradually declined, reflecting attrition over follow-up. The sample size decreased from 10,317 observations in 1996 to 3,121 observations in 2020.</w:t>
      </w:r>
    </w:p>
    <w:p>
      <w:pPr>
        <w:pStyle w:val="BodyText"/>
      </w:pPr>
      <w:hyperlink w:anchor="fig-sample-size">
        <w:r>
          <w:rPr>
            <w:rStyle w:val="Hyperlink"/>
          </w:rPr>
          <w:t xml:space="preserve">Figure 1</w:t>
        </w:r>
      </w:hyperlink>
      <w:r>
        <w:t xml:space="preserve"> </w:t>
      </w:r>
      <w:r>
        <w:t xml:space="preserve">shows the sample size by wave in the full processed dataset.</w:t>
      </w:r>
    </w:p>
    <w:tbl>
      <w:tblPr>
        <w:tblStyle w:val="Table"/>
        <w:tblW w:type="pct" w:w="5000"/>
        <w:tblLayout w:type="fixed"/>
        <w:tblLook w:firstRow="0" w:lastRow="0" w:firstColumn="0" w:lastColumn="0" w:noHBand="0" w:noVBand="0" w:val="0000"/>
      </w:tblPr>
      <w:tblGrid>
        <w:gridCol w:w="7920"/>
      </w:tblGrid>
      <w:tr>
        <w:tc>
          <w:tcPr/>
          <w:bookmarkStart w:id="34" w:name="fig-sample-size"/>
          <w:p>
            <w:pPr>
              <w:pStyle w:val="Compact"/>
              <w:jc w:val="center"/>
            </w:pPr>
            <w:r>
              <w:drawing>
                <wp:inline>
                  <wp:extent cx="5334000" cy="3333749"/>
                  <wp:effectExtent b="0" l="0" r="0" t="0"/>
                  <wp:docPr descr="" title="" id="32" name="Picture"/>
                  <a:graphic>
                    <a:graphicData uri="http://schemas.openxmlformats.org/drawingml/2006/picture">
                      <pic:pic>
                        <pic:nvPicPr>
                          <pic:cNvPr descr="../../results/figures/p1_sample_size_per_wave.png" id="33" name="Picture"/>
                          <pic:cNvPicPr>
                            <a:picLocks noChangeArrowheads="1" noChangeAspect="1"/>
                          </pic:cNvPicPr>
                        </pic:nvPicPr>
                        <pic:blipFill>
                          <a:blip r:embed="rId31"/>
                          <a:stretch>
                            <a:fillRect/>
                          </a:stretch>
                        </pic:blipFill>
                        <pic:spPr bwMode="auto">
                          <a:xfrm>
                            <a:off x="0" y="0"/>
                            <a:ext cx="5334000" cy="333374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Sample Size by Wave in the Full Processed Dataset.</w:t>
            </w:r>
          </w:p>
          <w:bookmarkEnd w:id="34"/>
        </w:tc>
      </w:tr>
    </w:tbl>
    <w:p>
      <w:pPr>
        <w:pStyle w:val="BodyText"/>
      </w:pPr>
      <w:r>
        <w:t xml:space="preserve">Over time, the proportion of participants with normal cognition decreased, while the proportions with cognitive impairment no dementia and dementia increased. This pattern suggests a gradual worsening of cognitive status across follow-up waves.</w:t>
      </w:r>
    </w:p>
    <w:p>
      <w:pPr>
        <w:pStyle w:val="BodyText"/>
      </w:pPr>
      <w:hyperlink w:anchor="fig-cog-wave">
        <w:r>
          <w:rPr>
            <w:rStyle w:val="Hyperlink"/>
          </w:rPr>
          <w:t xml:space="preserve">Figure 2</w:t>
        </w:r>
      </w:hyperlink>
      <w:r>
        <w:t xml:space="preserve"> </w:t>
      </w:r>
      <w:r>
        <w:t xml:space="preserve">shows the distribution of cognitive function categories across waves in the full processed dataset.</w:t>
      </w:r>
    </w:p>
    <w:tbl>
      <w:tblPr>
        <w:tblStyle w:val="Table"/>
        <w:tblW w:type="pct" w:w="5000"/>
        <w:tblLayout w:type="fixed"/>
        <w:tblLook w:firstRow="0" w:lastRow="0" w:firstColumn="0" w:lastColumn="0" w:noHBand="0" w:noVBand="0" w:val="0000"/>
      </w:tblPr>
      <w:tblGrid>
        <w:gridCol w:w="7920"/>
      </w:tblGrid>
      <w:tr>
        <w:tc>
          <w:tcPr/>
          <w:bookmarkStart w:id="38" w:name="fig-cog-wave"/>
          <w:p>
            <w:pPr>
              <w:pStyle w:val="Compact"/>
              <w:jc w:val="center"/>
            </w:pPr>
            <w:r>
              <w:drawing>
                <wp:inline>
                  <wp:extent cx="5334000" cy="3200399"/>
                  <wp:effectExtent b="0" l="0" r="0" t="0"/>
                  <wp:docPr descr="" title="" id="36" name="Picture"/>
                  <a:graphic>
                    <a:graphicData uri="http://schemas.openxmlformats.org/drawingml/2006/picture">
                      <pic:pic>
                        <pic:nvPicPr>
                          <pic:cNvPr descr="../../results/figures/p2_cogfunction_by_wave.png" id="37" name="Picture"/>
                          <pic:cNvPicPr>
                            <a:picLocks noChangeArrowheads="1" noChangeAspect="1"/>
                          </pic:cNvPicPr>
                        </pic:nvPicPr>
                        <pic:blipFill>
                          <a:blip r:embed="rId35"/>
                          <a:stretch>
                            <a:fillRect/>
                          </a:stretch>
                        </pic:blipFill>
                        <pic:spPr bwMode="auto">
                          <a:xfrm>
                            <a:off x="0" y="0"/>
                            <a:ext cx="5334000" cy="3200399"/>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Cognitive Function Distribution by Wave.</w:t>
            </w:r>
          </w:p>
          <w:bookmarkEnd w:id="38"/>
        </w:tc>
      </w:tr>
    </w:tbl>
    <w:p>
      <w:pPr>
        <w:pStyle w:val="BodyText"/>
      </w:pPr>
      <w:r>
        <w:t xml:space="preserve">BMI variability measures showed substantial overlap across wave windows, although the distributions shifted modestly to the right as the observation window became longer. This pattern suggests that longer wave windows may capture greater weight fluctuation over time.</w:t>
      </w:r>
    </w:p>
    <w:p>
      <w:pPr>
        <w:pStyle w:val="BodyText"/>
      </w:pPr>
      <w:hyperlink w:anchor="fig-bmiv-density">
        <w:r>
          <w:rPr>
            <w:rStyle w:val="Hyperlink"/>
          </w:rPr>
          <w:t xml:space="preserve">Figure 3</w:t>
        </w:r>
      </w:hyperlink>
      <w:r>
        <w:t xml:space="preserve"> </w:t>
      </w:r>
      <w:r>
        <w:t xml:space="preserve">shows the distribution of BMI variability measures across wave windows in the full processed dataset.</w:t>
      </w:r>
    </w:p>
    <w:tbl>
      <w:tblPr>
        <w:tblStyle w:val="Table"/>
        <w:tblW w:type="pct" w:w="5000"/>
        <w:tblLayout w:type="fixed"/>
        <w:tblLook w:firstRow="0" w:lastRow="0" w:firstColumn="0" w:lastColumn="0" w:noHBand="0" w:noVBand="0" w:val="0000"/>
      </w:tblPr>
      <w:tblGrid>
        <w:gridCol w:w="7920"/>
      </w:tblGrid>
      <w:tr>
        <w:tc>
          <w:tcPr/>
          <w:bookmarkStart w:id="42" w:name="fig-bmiv-density"/>
          <w:p>
            <w:pPr>
              <w:pStyle w:val="Compact"/>
              <w:jc w:val="center"/>
            </w:pPr>
            <w:r>
              <w:drawing>
                <wp:inline>
                  <wp:extent cx="5334000" cy="3200399"/>
                  <wp:effectExtent b="0" l="0" r="0" t="0"/>
                  <wp:docPr descr="" title="" id="40" name="Picture"/>
                  <a:graphic>
                    <a:graphicData uri="http://schemas.openxmlformats.org/drawingml/2006/picture">
                      <pic:pic>
                        <pic:nvPicPr>
                          <pic:cNvPr descr="../../results/figures/p4_bmi_cv_distribution.png" id="41" name="Picture"/>
                          <pic:cNvPicPr>
                            <a:picLocks noChangeArrowheads="1" noChangeAspect="1"/>
                          </pic:cNvPicPr>
                        </pic:nvPicPr>
                        <pic:blipFill>
                          <a:blip r:embed="rId39"/>
                          <a:stretch>
                            <a:fillRect/>
                          </a:stretch>
                        </pic:blipFill>
                        <pic:spPr bwMode="auto">
                          <a:xfrm>
                            <a:off x="0" y="0"/>
                            <a:ext cx="5334000" cy="320039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Distribution of BMI Variability Measures Across Wave Windows.</w:t>
            </w:r>
          </w:p>
          <w:bookmarkEnd w:id="42"/>
        </w:tc>
      </w:tr>
    </w:tbl>
    <w:bookmarkEnd w:id="43"/>
    <w:bookmarkStart w:id="45" w:name="basic-statistical-analysis"/>
    <w:p>
      <w:pPr>
        <w:pStyle w:val="Heading2"/>
      </w:pPr>
      <w:r>
        <w:t xml:space="preserve">4.2 Basic statistical analysis</w:t>
      </w:r>
    </w:p>
    <w:p>
      <w:pPr>
        <w:pStyle w:val="FirstParagraph"/>
      </w:pPr>
      <w:r>
        <w:t xml:space="preserve">Table 3 presents the main W3 landmark analysis results. In the unadjusted Cox model, higher BMI variability was associated with a higher hazard of incident dementia (HR = 1.03, 95% CI: 1.00–1.06, p = 0.021). After adjustment for baseline demographic, socioeconomic, and health-related covariates, the association was attenuated and became marginally significant (HR = 1.02, 95% CI: 1.00–1.05, p = 0.053). In the categorical model, compared with the low BMI variability group, the high variability group had a significantly higher hazard of incident dementia (HR = 1.36, 95% CI: 1.03–1.80, p = 0.029), whereas the medium variability group showed a smaller and non-significant increase in risk (HR = 1.13, 95% CI: 0.90–1.42, p = 0.276).</w:t>
      </w:r>
      <w:r>
        <w:t xml:space="preserve"> </w:t>
      </w:r>
      <w:hyperlink w:anchor="tbl-main-model-results">
        <w:r>
          <w:rPr>
            <w:rStyle w:val="Hyperlink"/>
          </w:rPr>
          <w:t xml:space="preserve">Table 2</w:t>
        </w:r>
      </w:hyperlink>
      <w:r>
        <w:t xml:space="preserve"> </w:t>
      </w:r>
      <w:r>
        <w:t xml:space="preserve">summarizes the main W3 landmark analysis results for the association between BMI variability and incident dementia.</w:t>
      </w:r>
    </w:p>
    <w:tbl>
      <w:tblPr>
        <w:tblStyle w:val="Table"/>
        <w:tblW w:type="pct" w:w="5000"/>
        <w:tblLayout w:type="fixed"/>
        <w:tblLook w:firstRow="0" w:lastRow="0" w:firstColumn="0" w:lastColumn="0" w:noHBand="0" w:noVBand="0" w:val="0000"/>
      </w:tblPr>
      <w:tblGrid>
        <w:gridCol w:w="7920"/>
      </w:tblGrid>
      <w:tr>
        <w:tc>
          <w:tcPr/>
          <w:bookmarkStart w:id="44" w:name="tbl-main-model-results"/>
          <w:p>
            <w:pPr>
              <w:jc w:val="center"/>
            </w:pPr>
            <w:pPr>
              <w:jc w:val="left"/>
              <w:spacing w:before="200"/>
              <w:pStyle w:val="ImageCaption"/>
            </w:pPr>
            <w:r>
              <w:t xml:space="preserve">Table 2: Association Between BMI Variability and Incident Dementia in the W3 Landmark Analysis.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b w:val="true"/>
                <w:rFonts w:ascii="Calibri" w:hAnsi="Calibri"/>
                <w:sz w:val="24"/>
                <w:color w:val="333333"/>
              </w:rPr>
              <w:t xml:space="preserve">Association Between BMI Variability and Incident Dementia in the W3 Landmark Analysis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Model</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Exposure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HR</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95% CI</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Model 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BMI variability (continuous, W3)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1.00–1.06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Model 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BMI variability (continuous, W3)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1.00–1.05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Model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Medium vs Low variability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0.90–1.42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Model 3</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High vs Low variability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1.03–1.80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0.029</w:t>
                  </w:r>
                </w:p>
              </w:tc>
            </w:tr>
          </w:tbl>
          <w:bookmarkEnd w:id="44"/>
        </w:tc>
      </w:tr>
    </w:tbl>
    <w:bookmarkEnd w:id="45"/>
    <w:bookmarkStart w:id="46" w:name="full-analysis-planing"/>
    <w:p>
      <w:pPr>
        <w:pStyle w:val="Heading2"/>
      </w:pPr>
      <w:r>
        <w:t xml:space="preserve">4.3 Full analysis Planing</w:t>
      </w:r>
    </w:p>
    <w:p>
      <w:r>
        <w:br w:type="page"/>
      </w:r>
    </w:p>
    <w:bookmarkEnd w:id="46"/>
    <w:bookmarkEnd w:id="47"/>
    <w:bookmarkStart w:id="51" w:name="discussion"/>
    <w:p>
      <w:pPr>
        <w:pStyle w:val="Heading1"/>
      </w:pPr>
      <w:r>
        <w:t xml:space="preserve">5. Discussion</w:t>
      </w:r>
    </w:p>
    <w:bookmarkStart w:id="48" w:name="summary-and-interpretation"/>
    <w:p>
      <w:pPr>
        <w:pStyle w:val="Heading2"/>
      </w:pPr>
      <w:r>
        <w:t xml:space="preserve">5.1 Summary and Interpretation</w:t>
      </w:r>
    </w:p>
    <w:bookmarkEnd w:id="48"/>
    <w:bookmarkStart w:id="49" w:name="strengths-and-limitations"/>
    <w:p>
      <w:pPr>
        <w:pStyle w:val="Heading2"/>
      </w:pPr>
      <w:r>
        <w:t xml:space="preserve">5.2 Strengths and Limitations</w:t>
      </w:r>
    </w:p>
    <w:bookmarkEnd w:id="49"/>
    <w:bookmarkStart w:id="50" w:name="conclusions"/>
    <w:p>
      <w:pPr>
        <w:pStyle w:val="Heading2"/>
      </w:pPr>
      <w:r>
        <w:t xml:space="preserve">5.3 Conclusions</w:t>
      </w:r>
    </w:p>
    <w:p>
      <w:r>
        <w:br w:type="page"/>
      </w:r>
    </w:p>
    <w:bookmarkEnd w:id="50"/>
    <w:bookmarkEnd w:id="51"/>
    <w:bookmarkStart w:id="52" w:name="references"/>
    <w:p>
      <w:pPr>
        <w:pStyle w:val="Heading1"/>
      </w:pPr>
      <w:r>
        <w:t xml:space="preserve">6. References</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Body Mass Index Variability and Subsequent Dementia Risk in Older Adults</dc:title>
  <dc:creator>Liang Lai</dc:creator>
  <cp:keywords/>
  <dcterms:created xsi:type="dcterms:W3CDTF">2026-03-25T04:55:32Z</dcterms:created>
  <dcterms:modified xsi:type="dcterms:W3CDTF">2026-03-25T04:55:32Z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../../assets/dataanalysis-references.bib</vt:lpwstr>
  </property>
  <property fmtid="{D5CDD505-2E9C-101B-9397-08002B2CF9AE}" pid="5" name="by-author">
    <vt:lpwstr/>
  </property>
  <property fmtid="{D5CDD505-2E9C-101B-9397-08002B2CF9AE}" pid="6" name="csl">
    <vt:lpwstr>../../assets/american-journal-of-epidemiology.csl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