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7.png" ContentType="image/png"/>
  <Override PartName="/word/media/rId51.png" ContentType="image/png"/>
  <Override PartName="/word/media/rId43.png" ContentType="image/png"/>
  <Override PartName="/word/media/rId21.png" ContentType="image/png"/>
  <Override PartName="/word/media/rId2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Body Mass Index Variability and Dementia Risk in Older Adults: Landmark Cox and Predictive Modeling Analyses</w:t>
      </w:r>
    </w:p>
    <w:p>
      <w:pPr>
        <w:pStyle w:val="Author"/>
      </w:pPr>
      <w:r>
        <w:t xml:space="preserve">Liang Lai</w:t>
      </w:r>
    </w:p>
    <w:p>
      <w:pPr>
        <w:pStyle w:val="FirstParagraph"/>
      </w:pPr>
      <w:r>
        <w:rPr>
          <w:b/>
          <w:bCs/>
        </w:rPr>
        <w:t xml:space="preserve">Authors</w:t>
      </w:r>
    </w:p>
    <w:p>
      <w:pPr>
        <w:pStyle w:val="Compact"/>
        <w:numPr>
          <w:ilvl w:val="0"/>
          <w:numId w:val="1001"/>
        </w:numPr>
      </w:pPr>
      <w:r>
        <w:t xml:space="preserve">Liang Lai</w:t>
      </w:r>
      <m:oMath>
        <m:sSup>
          <m:e>
            <m:r>
              <m:t>​</m:t>
            </m:r>
          </m:e>
          <m:sup>
            <m:r>
              <m:t>1</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r>
        <w:br w:type="page"/>
      </w:r>
    </w:p>
    <w:bookmarkStart w:id="9" w:name="abstract"/>
    <w:p>
      <w:pPr>
        <w:pStyle w:val="Heading1"/>
      </w:pPr>
      <w:r>
        <w:t xml:space="preserve">1. Abstract</w:t>
      </w:r>
    </w:p>
    <w:p>
      <w:pPr>
        <w:pStyle w:val="FirstParagraph"/>
      </w:pPr>
      <w:r>
        <w:t xml:space="preserve">Background: Mid-life obesity has been linked to increased dementia risk, but less is known about whether instability in body mass index (BMI) over time is related to later dementia.</w:t>
      </w:r>
    </w:p>
    <w:p>
      <w:pPr>
        <w:pStyle w:val="BodyText"/>
      </w:pPr>
      <w:r>
        <w:t xml:space="preserve">Methods: Data came from the Health and Retirement Study (1996-2020). BMI variability (BMIV) was measured as the coefficient of variation (CV%) of repeated BMI measurements among U.S. adults aged 50 and older. The main analysis used landmark Cox proportional hazards models across waves 3 through 9 (years 2000-2012), with both unadjusted and covariate-adjusted specifications. A secondary prediction analysis used the W3 landmark sample to predict 10-year incident dementia with logistic regression, LASSO logistic regression, and random forest models. These models were compared with a null baseline using cross-validation and a test set.</w:t>
      </w:r>
    </w:p>
    <w:p>
      <w:pPr>
        <w:pStyle w:val="BodyText"/>
      </w:pPr>
      <w:r>
        <w:t xml:space="preserve">Results: In the W3 landmark sample (N = 5,993; 469 dementia events), higher BMI variability was associated with increased dementia risk in unadjusted models (HR = 1.03 per 1% increase in CV, 95% CI: 1.00-1.06, p = 0.021). The association was strongest at the W6 landmark (HR = 1.06, 95% CI: 1.02-1.10, p = 0.002) and attenuated at W9, where statistical power was reduced. In categorical analyses, the high BMIV group consistently showed elevated risk compared with the low group (W3 adjusted HR = 1.36, 95% CI: 1.03-1.80). In the W3 10-year prediction sample (N = 4,676; 140 dementia events), LASSO logistic regression had the highest cross-validated ROC AUC (0.753), while all predictive models substantially exceeded the null baseline in discrimination but achieved modest absolute predictive performance on the test set.</w:t>
      </w:r>
    </w:p>
    <w:p>
      <w:pPr>
        <w:pStyle w:val="BodyText"/>
      </w:pPr>
      <w:r>
        <w:t xml:space="preserve">Conclusions: Greater long-term BMI variability was associated with a modestly higher risk of incident dementia, especially at the W6 landmark. The prediction models separated future dementia cases from non-cases better than the null baseline, but absolute performance remained limited. BMIV may therefore be more useful as one risk marker within a broader clinical and sociodemographic profile than as a standalone predictor.</w:t>
      </w:r>
    </w:p>
    <w:p>
      <w:r>
        <w:br w:type="page"/>
      </w:r>
    </w:p>
    <w:bookmarkEnd w:id="9"/>
    <w:bookmarkStart w:id="13" w:name="introduction"/>
    <w:p>
      <w:pPr>
        <w:pStyle w:val="Heading1"/>
      </w:pPr>
      <w:r>
        <w:t xml:space="preserve">2. Introduction</w:t>
      </w:r>
    </w:p>
    <w:bookmarkStart w:id="10" w:name="background"/>
    <w:p>
      <w:pPr>
        <w:pStyle w:val="Heading2"/>
      </w:pPr>
      <w:r>
        <w:t xml:space="preserve">2.1 Background</w:t>
      </w:r>
    </w:p>
    <w:p>
      <w:pPr>
        <w:pStyle w:val="FirstParagraph"/>
      </w:pPr>
      <w:r>
        <w:t xml:space="preserve">Mid-life high body mass index (BMI) has been linked to poorer cognitive performance, faster cognitive decline, and higher risk of dementia in later life</w:t>
      </w:r>
      <w:r>
        <w:t xml:space="preserve"> </w:t>
      </w:r>
      <w:r>
        <w:t xml:space="preserve">(1,2)</w:t>
      </w:r>
      <w:r>
        <w:t xml:space="preserve">. Large-scale evidence further suggests that the association between BMI and dementia depends in part on the timing of BMI assessment, with reverse causation likely influencing estimates obtained closer to dementia onset</w:t>
      </w:r>
      <w:r>
        <w:t xml:space="preserve"> </w:t>
      </w:r>
      <w:r>
        <w:t xml:space="preserve">(3)</w:t>
      </w:r>
      <w:r>
        <w:t xml:space="preserve">. However, beyond mean BMI level, the stability of BMI over time may also carry prognostic information</w:t>
      </w:r>
      <w:r>
        <w:t xml:space="preserve"> </w:t>
      </w:r>
      <w:r>
        <w:t xml:space="preserve">(4,5)</w:t>
      </w:r>
      <w:r>
        <w:t xml:space="preserve">. Weight fluctuation has been associated with adverse cardiovascular and metabolic outcomes, but its relationship with cognitive decline and dementia has received comparatively little attention.</w:t>
      </w:r>
    </w:p>
    <w:p>
      <w:pPr>
        <w:pStyle w:val="BodyText"/>
      </w:pPr>
      <w:r>
        <w:t xml:space="preserve">BMI variability reflects weight instability that may arise from repeated dieting, chronic illness, metabolic dysregulation, or changes in physical activity. These fluctuations may be linked to dementia through inflammation, insulin resistance, and vascular pathways, although the exact mechanisms remain uncertain. Despite growing interest in body weight dynamics and brain aging, few population-based studies have examined long-term BMI variability as a predictor of incident dementia</w:t>
      </w:r>
      <w:r>
        <w:t xml:space="preserve"> </w:t>
      </w:r>
      <w:r>
        <w:t xml:space="preserve">(6,7)</w:t>
      </w:r>
      <w:r>
        <w:t xml:space="preserve">.</w:t>
      </w:r>
    </w:p>
    <w:bookmarkEnd w:id="10"/>
    <w:bookmarkStart w:id="11" w:name="data-source"/>
    <w:p>
      <w:pPr>
        <w:pStyle w:val="Heading2"/>
      </w:pPr>
      <w:r>
        <w:t xml:space="preserve">2.2 Data Source</w:t>
      </w:r>
    </w:p>
    <w:p>
      <w:pPr>
        <w:pStyle w:val="FirstParagraph"/>
      </w:pPr>
      <w:r>
        <w:t xml:space="preserve">We used data from the Health and Retirement Study (HRS), a nationally representative longitudinal survey of U.S. adults aged 50 and older, with biennial follow-up. The study period spans 1996-2020 (up to 13 waves). HRS collects repeated measures on demographics, socioeconomic status, health behaviors, and health conditions, and includes cognitive assessments that allow dementia classification. Cognitive status was classified using the Langa-Weir algorithm, which categorizes respondents into normal cognition, cognitive impairment no dementia (CIND), and dementia based on cognitive test scores.</w:t>
      </w:r>
    </w:p>
    <w:bookmarkEnd w:id="11"/>
    <w:bookmarkStart w:id="12" w:name="research-questions"/>
    <w:p>
      <w:pPr>
        <w:pStyle w:val="Heading2"/>
      </w:pPr>
      <w:r>
        <w:t xml:space="preserve">2.3 Research Questions</w:t>
      </w:r>
    </w:p>
    <w:p>
      <w:pPr>
        <w:pStyle w:val="FirstParagraph"/>
      </w:pPr>
      <w:r>
        <w:t xml:space="preserve">The primary research question is whether greater long-term BMI variability is associated with a higher risk of incident dementia among U.S. adults aged 50 and older.</w:t>
      </w:r>
    </w:p>
    <w:p>
      <w:pPr>
        <w:pStyle w:val="BodyText"/>
      </w:pPr>
      <w:r>
        <w:t xml:space="preserve">The main hypothesis was that higher BMI variability would be associated with increased dementia risk, with stronger associations when BMI variability was measured over longer observation windows.</w:t>
      </w:r>
    </w:p>
    <w:p>
      <w:pPr>
        <w:pStyle w:val="BodyText"/>
      </w:pPr>
      <w:r>
        <w:t xml:space="preserve">As a secondary question, the analysis examined whether BMI variability and baseline covariates could predict 10-year incident dementia after the W3 landmark. This part of the project compared predictive performance and was not intended to estimate causal effects.</w:t>
      </w:r>
    </w:p>
    <w:p>
      <w:r>
        <w:br w:type="page"/>
      </w:r>
    </w:p>
    <w:bookmarkEnd w:id="12"/>
    <w:bookmarkEnd w:id="13"/>
    <w:bookmarkStart w:id="20" w:name="methods"/>
    <w:p>
      <w:pPr>
        <w:pStyle w:val="Heading1"/>
      </w:pPr>
      <w:r>
        <w:t xml:space="preserve">3. Methods</w:t>
      </w:r>
    </w:p>
    <w:bookmarkStart w:id="14" w:name="study-design"/>
    <w:p>
      <w:pPr>
        <w:pStyle w:val="Heading2"/>
      </w:pPr>
      <w:r>
        <w:t xml:space="preserve">3.1 Study Design</w:t>
      </w:r>
    </w:p>
    <w:p>
      <w:pPr>
        <w:pStyle w:val="FirstParagraph"/>
      </w:pPr>
      <w:r>
        <w:t xml:space="preserve">We applied a landmark analysis framework to examine the association between BMI variability and incident dementia. The landmark approach defines a fixed time point at which exposure is measured and from which follow-up for the outcome begins, thereby avoiding immortal time bias and ensuring that exposure precedes outcome ascertainment.</w:t>
      </w:r>
    </w:p>
    <w:p>
      <w:pPr>
        <w:pStyle w:val="BodyText"/>
      </w:pPr>
      <w:r>
        <w:t xml:space="preserve">We constructed landmark datasets at each wave from W3 (year 2000) through W9 (year 2012). For each landmark, individuals were required to have been observed in all preceding waves beginning with W1 (1996) and to have been free of CIND or dementia through the landmark wave. Follow-up for dementia events began at the landmark wave and continued through the last available observation.</w:t>
      </w:r>
    </w:p>
    <w:bookmarkEnd w:id="14"/>
    <w:bookmarkStart w:id="15" w:name="exposure-bmi-variability"/>
    <w:p>
      <w:pPr>
        <w:pStyle w:val="Heading2"/>
      </w:pPr>
      <w:r>
        <w:t xml:space="preserve">3.2 Exposure: BMI Variability</w:t>
      </w:r>
    </w:p>
    <w:p>
      <w:pPr>
        <w:pStyle w:val="FirstParagraph"/>
      </w:pPr>
      <w:r>
        <w:t xml:space="preserve">The primary exposure was long-term BMI variability, defined as the coefficient of variation (CV%) of repeated BMI measurements from W1 through each landmark wave. The CV% is calculated as:</w:t>
      </w:r>
    </w:p>
    <w:p>
      <w:pPr>
        <w:pStyle w:val="BodyText"/>
      </w:pPr>
      <m:oMathPara>
        <m:oMathParaPr>
          <m:jc m:val="center"/>
        </m:oMathParaPr>
        <m:oMath>
          <m:r>
            <m:t>C</m:t>
          </m:r>
          <m:r>
            <m:t>V</m:t>
          </m:r>
          <m:r>
            <m:rPr>
              <m:sty m:val="p"/>
            </m:rPr>
            <m:t>%</m:t>
          </m:r>
          <m:r>
            <m:rPr>
              <m:sty m:val="p"/>
            </m:rPr>
            <m:t>=</m:t>
          </m:r>
          <m:f>
            <m:fPr>
              <m:type m:val="bar"/>
            </m:fPr>
            <m:num>
              <m:r>
                <m:t>S</m:t>
              </m:r>
              <m:r>
                <m:t>D</m:t>
              </m:r>
              <m:r>
                <m:rPr>
                  <m:sty m:val="p"/>
                </m:rPr>
                <m:t>(</m:t>
              </m:r>
              <m:r>
                <m:rPr>
                  <m:nor/>
                  <m:sty m:val="p"/>
                </m:rPr>
                <m:t>BMI</m:t>
              </m:r>
              <m:r>
                <m:rPr>
                  <m:sty m:val="p"/>
                </m:rPr>
                <m:t>)</m:t>
              </m:r>
            </m:num>
            <m:den>
              <m:r>
                <m:t>M</m:t>
              </m:r>
              <m:r>
                <m:t>E</m:t>
              </m:r>
              <m:r>
                <m:t>A</m:t>
              </m:r>
              <m:r>
                <m:t>N</m:t>
              </m:r>
              <m:r>
                <m:rPr>
                  <m:sty m:val="p"/>
                </m:rPr>
                <m:t>(</m:t>
              </m:r>
              <m:r>
                <m:rPr>
                  <m:nor/>
                  <m:sty m:val="p"/>
                </m:rPr>
                <m:t>BMI</m:t>
              </m:r>
              <m:r>
                <m:rPr>
                  <m:sty m:val="p"/>
                </m:rPr>
                <m:t>)</m:t>
              </m:r>
            </m:den>
          </m:f>
          <m:r>
            <m:rPr>
              <m:sty m:val="p"/>
            </m:rPr>
            <m:t>×</m:t>
          </m:r>
          <m:r>
            <m:t>100</m:t>
          </m:r>
        </m:oMath>
      </m:oMathPara>
    </w:p>
    <w:p>
      <w:pPr>
        <w:pStyle w:val="FirstParagraph"/>
      </w:pPr>
      <w:r>
        <w:t xml:space="preserve">To handle missing BMI values within the exposure window, we applied linear interpolation across waves. BMI CV% was examined both as a continuous variable and categorized into tertiles (low, medium, and high variability). Tertile cutpoints were derived from the W9 window distribution (the longest available follow-up window, spanning 1996-2012) to ensure consistent classification thresholds across all landmark windows: low (&lt;=3.9%), medium (&gt;3.9% to &lt;=6.5%), and high (&gt;6.5%).</w:t>
      </w:r>
    </w:p>
    <w:bookmarkEnd w:id="15"/>
    <w:bookmarkStart w:id="16" w:name="outcome"/>
    <w:p>
      <w:pPr>
        <w:pStyle w:val="Heading2"/>
      </w:pPr>
      <w:r>
        <w:t xml:space="preserve">3.3 Outcome</w:t>
      </w:r>
    </w:p>
    <w:p>
      <w:pPr>
        <w:pStyle w:val="FirstParagraph"/>
      </w:pPr>
      <w:r>
        <w:t xml:space="preserve">The primary outcome was incident dementia, defined as the first wave at which a participant was classified as</w:t>
      </w:r>
      <w:r>
        <w:t xml:space="preserve"> </w:t>
      </w:r>
      <w:r>
        <w:t xml:space="preserve">“Demented”</w:t>
      </w:r>
      <w:r>
        <w:t xml:space="preserve"> </w:t>
      </w:r>
      <w:r>
        <w:t xml:space="preserve">by the Langa-Weir algorithm following the landmark wave. Once a dementia event was recorded, subsequent observations for that individual were censored.</w:t>
      </w:r>
    </w:p>
    <w:bookmarkEnd w:id="16"/>
    <w:bookmarkStart w:id="17" w:name="covariates"/>
    <w:p>
      <w:pPr>
        <w:pStyle w:val="Heading2"/>
      </w:pPr>
      <w:r>
        <w:t xml:space="preserve">3.4 Covariates</w:t>
      </w:r>
    </w:p>
    <w:p>
      <w:pPr>
        <w:pStyle w:val="FirstParagraph"/>
      </w:pPr>
      <w:r>
        <w:t xml:space="preserve">Models were adjusted for the following baseline covariates: age at baseline, sex, race/ethnicity (Non-Hispanic White, Non-Hispanic Black, Hispanic or Other), education (less than high school, GED, high school graduate, college or above), log-transformed household wealth, number of chronic conditions, health insurance status, employment status (employed, unemployed/not in labor force, retired, disabled), smoking status (never, ever/current), and depression.</w:t>
      </w:r>
    </w:p>
    <w:bookmarkEnd w:id="17"/>
    <w:bookmarkStart w:id="18" w:name="statistical-analysis"/>
    <w:p>
      <w:pPr>
        <w:pStyle w:val="Heading2"/>
      </w:pPr>
      <w:r>
        <w:t xml:space="preserve">3.5 Statistical Analysis</w:t>
      </w:r>
    </w:p>
    <w:p>
      <w:pPr>
        <w:pStyle w:val="FirstParagraph"/>
      </w:pPr>
      <w:r>
        <w:t xml:space="preserve">Baseline characteristics of the W3 analytic sample were summarized overall and stratified by BMI variability tertile group. Continuous variables are presented as mean (standard deviation) and categorical variables as count (percentage). Group differences were assessed using Kruskal-Wallis tests for continuous variables and chi-squared tests for categorical variables.</w:t>
      </w:r>
    </w:p>
    <w:p>
      <w:pPr>
        <w:pStyle w:val="BodyText"/>
      </w:pPr>
      <w:r>
        <w:t xml:space="preserve">We used Cox proportional hazards regression models with counting-process format to estimate hazard ratios (HRs) and 95% confidence intervals (CIs) for the association between BMI variability and incident dementia. Robust standard errors were obtained via the cluster sandwich estimator to account for within-person correlation. For each landmark wave, four models were fitted: an unadjusted continuous model with BMI CV% as the sole predictor; an adjusted continuous model with BMI CV% and all covariates; an unadjusted categorical model with BMI variability tertile group as the sole predictor; and an adjusted categorical model with BMI variability tertile group and all covariates.</w:t>
      </w:r>
    </w:p>
    <w:p>
      <w:pPr>
        <w:pStyle w:val="BodyText"/>
      </w:pPr>
      <w:r>
        <w:t xml:space="preserve">The proportional hazards assumption was assessed using Schoenfeld residuals. Main results are presented for W3, W6, and W9 landmark waves to illustrate findings across short, medium, and long exposure measurement windows.</w:t>
      </w:r>
    </w:p>
    <w:bookmarkEnd w:id="18"/>
    <w:bookmarkStart w:id="19" w:name="predictive-modeling-analysis"/>
    <w:p>
      <w:pPr>
        <w:pStyle w:val="Heading2"/>
      </w:pPr>
      <w:r>
        <w:t xml:space="preserve">3.6 Predictive Modeling Analysis</w:t>
      </w:r>
    </w:p>
    <w:p>
      <w:pPr>
        <w:pStyle w:val="FirstParagraph"/>
      </w:pPr>
      <w:r>
        <w:t xml:space="preserve">The predictive component used a secondary W3 landmark analysis focused on 10-year incident dementia. Eligible participants were observed in 1996, 1998, and 2000, were free of CIND and dementia through W3, and had complete covariate information. The binary outcome was whether the participant developed dementia between W3 (2000) and 2010. Participants without dementia were retained only if they were observed through the end of this 10-year prediction window.</w:t>
      </w:r>
    </w:p>
    <w:p>
      <w:pPr>
        <w:pStyle w:val="BodyText"/>
      </w:pPr>
      <w:r>
        <w:t xml:space="preserve">The W3 prediction dataset was split into a 75% training set and a 25% test set with stratification by dementia status. Within the training set, we used 10-fold cross-validation to evaluate logistic regression, LASSO logistic regression, and random forest models. The LASSO penalty and random forest tuning parameters were selected by cross-validated ROC AUC. A null model, defined as a constant prediction equal to the training-set dementia event rate, was used as a no-discrimination baseline. For this constant predictor, ROC AUC equals 0.50 by construction; PR AUC equals the event prevalence; and the Brier score reduces to a function of the marginal event rate. Model performance was evaluated using ROC AUC, precision-recall AUC (PR AUC), and Brier score. ROC AUC measures discrimination, PR AUC is especially informative for the rare dementia outcome, and the Brier score summarizes overall probabilistic prediction error.</w:t>
      </w:r>
    </w:p>
    <w:p>
      <w:pPr>
        <w:pStyle w:val="BodyText"/>
      </w:pPr>
      <w:r>
        <w:t xml:space="preserve">All analyses were conducted in R (version 4.5.2) using the survival, tidymodels, glmnet, ranger, gtsummary, and gt packages.</w:t>
      </w:r>
    </w:p>
    <w:p>
      <w:r>
        <w:br w:type="page"/>
      </w:r>
    </w:p>
    <w:bookmarkEnd w:id="19"/>
    <w:bookmarkEnd w:id="20"/>
    <w:bookmarkStart w:id="59" w:name="results"/>
    <w:p>
      <w:pPr>
        <w:pStyle w:val="Heading1"/>
      </w:pPr>
      <w:r>
        <w:t xml:space="preserve">4. Results</w:t>
      </w:r>
    </w:p>
    <w:bookmarkStart w:id="36" w:name="descriptive-analysis"/>
    <w:p>
      <w:pPr>
        <w:pStyle w:val="Heading2"/>
      </w:pPr>
      <w:r>
        <w:t xml:space="preserve">4.1 Descriptive Analysis</w:t>
      </w:r>
    </w:p>
    <w:bookmarkStart w:id="33" w:name="full-study-population"/>
    <w:p>
      <w:pPr>
        <w:pStyle w:val="Heading3"/>
      </w:pPr>
      <w:r>
        <w:t xml:space="preserve">4.1.1 Full Study Population</w:t>
      </w:r>
    </w:p>
    <w:p>
      <w:pPr>
        <w:pStyle w:val="FirstParagraph"/>
      </w:pPr>
      <w:r>
        <w:t xml:space="preserve">The full processed HRS dataset included 10,317 individuals at the 1996 baseline wave. Over subsequent waves, the sample size gradually declined due to attrition, decreasing to 3,121 observations by 2020. The proportion of participants with normal cognition decreased over time, while the proportions with CIND and dementia increased, reflecting the aging of the cohort.</w:t>
      </w:r>
    </w:p>
    <w:tbl>
      <w:tblPr>
        <w:tblStyle w:val="Table"/>
        <w:tblW w:type="pct" w:w="5000"/>
        <w:tblLayout w:type="fixed"/>
        <w:tblLook w:firstRow="0" w:lastRow="0" w:firstColumn="0" w:lastColumn="0" w:noHBand="0" w:noVBand="0" w:val="0000"/>
      </w:tblPr>
      <w:tblGrid>
        <w:gridCol w:w="7920"/>
      </w:tblGrid>
      <w:tr>
        <w:tc>
          <w:tcPr/>
          <w:bookmarkStart w:id="24" w:name="fig-sample-size"/>
          <w:p>
            <w:pPr>
              <w:pStyle w:val="Compact"/>
              <w:jc w:val="center"/>
            </w:pPr>
            <w:r>
              <w:drawing>
                <wp:inline>
                  <wp:extent cx="5334000" cy="3333749"/>
                  <wp:effectExtent b="0" l="0" r="0" t="0"/>
                  <wp:docPr descr="" title="" id="22" name="Picture"/>
                  <a:graphic>
                    <a:graphicData uri="http://schemas.openxmlformats.org/drawingml/2006/picture">
                      <pic:pic>
                        <pic:nvPicPr>
                          <pic:cNvPr descr="../../results/figures/p1_sample_size_per_wave.png" id="23" name="Picture"/>
                          <pic:cNvPicPr>
                            <a:picLocks noChangeArrowheads="1" noChangeAspect="1"/>
                          </pic:cNvPicPr>
                        </pic:nvPicPr>
                        <pic:blipFill>
                          <a:blip r:embed="rId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Sample Size by Wave in the Full Processed Dataset.</w:t>
            </w:r>
          </w:p>
          <w:bookmarkEnd w:id="24"/>
        </w:tc>
      </w:tr>
    </w:tbl>
    <w:tbl>
      <w:tblPr>
        <w:tblStyle w:val="Table"/>
        <w:tblW w:type="pct" w:w="5000"/>
        <w:tblLayout w:type="fixed"/>
        <w:tblLook w:firstRow="0" w:lastRow="0" w:firstColumn="0" w:lastColumn="0" w:noHBand="0" w:noVBand="0" w:val="0000"/>
      </w:tblPr>
      <w:tblGrid>
        <w:gridCol w:w="7920"/>
      </w:tblGrid>
      <w:tr>
        <w:tc>
          <w:tcPr/>
          <w:bookmarkStart w:id="28" w:name="fig-cog-wave"/>
          <w:p>
            <w:pPr>
              <w:pStyle w:val="Compact"/>
              <w:jc w:val="center"/>
            </w:pPr>
            <w:r>
              <w:drawing>
                <wp:inline>
                  <wp:extent cx="5334000" cy="3200399"/>
                  <wp:effectExtent b="0" l="0" r="0" t="0"/>
                  <wp:docPr descr="" title="" id="26" name="Picture"/>
                  <a:graphic>
                    <a:graphicData uri="http://schemas.openxmlformats.org/drawingml/2006/picture">
                      <pic:pic>
                        <pic:nvPicPr>
                          <pic:cNvPr descr="../../results/figures/p2_cogfunction_by_wave.png" id="27" name="Picture"/>
                          <pic:cNvPicPr>
                            <a:picLocks noChangeArrowheads="1" noChangeAspect="1"/>
                          </pic:cNvPicPr>
                        </pic:nvPicPr>
                        <pic:blipFill>
                          <a:blip r:embed="rId25"/>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Cognitive Function Distribution by Wave.</w:t>
            </w:r>
          </w:p>
          <w:bookmarkEnd w:id="28"/>
        </w:tc>
      </w:tr>
    </w:tbl>
    <w:p>
      <w:pPr>
        <w:pStyle w:val="BodyText"/>
      </w:pPr>
      <w:r>
        <w:t xml:space="preserve">BMI variability measures overlapped across wave windows, but the distributions shifted slightly to the right as the observation window became longer. Longer windows therefore captured a wider range of weight fluctuation.</w:t>
      </w:r>
    </w:p>
    <w:tbl>
      <w:tblPr>
        <w:tblStyle w:val="Table"/>
        <w:tblW w:type="pct" w:w="5000"/>
        <w:tblLayout w:type="fixed"/>
        <w:tblLook w:firstRow="0" w:lastRow="0" w:firstColumn="0" w:lastColumn="0" w:noHBand="0" w:noVBand="0" w:val="0000"/>
      </w:tblPr>
      <w:tblGrid>
        <w:gridCol w:w="7920"/>
      </w:tblGrid>
      <w:tr>
        <w:tc>
          <w:tcPr/>
          <w:bookmarkStart w:id="32" w:name="fig-bmiv-density"/>
          <w:p>
            <w:pPr>
              <w:pStyle w:val="Compact"/>
              <w:jc w:val="center"/>
            </w:pPr>
            <w:r>
              <w:drawing>
                <wp:inline>
                  <wp:extent cx="5334000" cy="3200399"/>
                  <wp:effectExtent b="0" l="0" r="0" t="0"/>
                  <wp:docPr descr="" title="" id="30" name="Picture"/>
                  <a:graphic>
                    <a:graphicData uri="http://schemas.openxmlformats.org/drawingml/2006/picture">
                      <pic:pic>
                        <pic:nvPicPr>
                          <pic:cNvPr descr="../../results/figures/p4_bmi_cv_distribution.png" id="31" name="Picture"/>
                          <pic:cNvPicPr>
                            <a:picLocks noChangeArrowheads="1" noChangeAspect="1"/>
                          </pic:cNvPicPr>
                        </pic:nvPicPr>
                        <pic:blipFill>
                          <a:blip r:embed="rId29"/>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BMI Variability Measures Across Wave Windows.</w:t>
            </w:r>
          </w:p>
          <w:bookmarkEnd w:id="32"/>
        </w:tc>
      </w:tr>
    </w:tbl>
    <w:bookmarkEnd w:id="33"/>
    <w:bookmarkStart w:id="35" w:name="w3-analytic-sample"/>
    <w:p>
      <w:pPr>
        <w:pStyle w:val="Heading3"/>
      </w:pPr>
      <w:r>
        <w:t xml:space="preserve">4.1.2 W3 Analytic Sample</w:t>
      </w:r>
    </w:p>
    <w:p>
      <w:pPr>
        <w:pStyle w:val="FirstParagraph"/>
      </w:pPr>
      <w:hyperlink w:anchor="tbl-baseline">
        <w:r>
          <w:rPr>
            <w:rStyle w:val="Hyperlink"/>
          </w:rPr>
          <w:t xml:space="preserve">Table 1</w:t>
        </w:r>
      </w:hyperlink>
      <w:r>
        <w:t xml:space="preserve"> </w:t>
      </w:r>
      <w:r>
        <w:t xml:space="preserve">summarizes the baseline characteristics of the W3 analytic sample by BMI variability group. Of the 5,993 participants, 4,078 (68.0%) were classified as having low BMI variability, 1,191 (19.9%) as mid variability, and 724 (12.1%) as high variability.</w:t>
      </w:r>
    </w:p>
    <w:tbl>
      <w:tblPr>
        <w:tblStyle w:val="Table"/>
        <w:tblW w:type="pct" w:w="5000"/>
        <w:tblLayout w:type="fixed"/>
        <w:tblLook w:firstRow="0" w:lastRow="0" w:firstColumn="0" w:lastColumn="0" w:noHBand="0" w:noVBand="0" w:val="0000"/>
      </w:tblPr>
      <w:tblGrid>
        <w:gridCol w:w="7920"/>
      </w:tblGrid>
      <w:tr>
        <w:tc>
          <w:tcPr/>
          <w:bookmarkStart w:id="34" w:name="tbl-baseline"/>
          <w:p>
            <w:pPr>
              <w:jc w:val="center"/>
            </w:pPr>
            <w:pPr>
              <w:jc w:val="left"/>
              <w:spacing w:before="200"/>
              <w:pStyle w:val="ImageCaption"/>
            </w:pPr>
            <w:r>
              <w:t xml:space="preserve">Table 1: Baseline characteristics of the W3 analytic sample by BMI variability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5"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5,993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Low (≤3.9%)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4,078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Mid (&gt;3.9% to ≤6.5%)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1,191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High (&gt;6.5%)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724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2</w:t>
                  </w:r>
                </w:p>
              </w:tc>
            </w:tr>
            <w:tr>
              <w:trPr>
                <w:trHeight w:val="46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Age at baseline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59.47 (4.44)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59.67 (4.38)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59.22 (4.59)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58.79 (4.42)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Baseline BMI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27.26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26.91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27.73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28.44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2,565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1,921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3,428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2,157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754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Race/ethnicity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Non-Hispanic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4,930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3,382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Non-Hispanic Black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595 (9.9%)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Hispanic or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0.027</w:t>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Less than high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902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573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High school graduate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College or 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2,709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1,875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523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311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Log household wealth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11.98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12.21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11.34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Number of chronic conditions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2,746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1,985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494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662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182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Insurance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 insurance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104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Has insurance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5,460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3,755 (92%)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1,083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Employment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Employed (FT/PT)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3,236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2,227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637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Unemployed/Not in labor force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405 (9.9%)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84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Retired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1,981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236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Disabled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Smoking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Never 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2,364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1,641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Ever/Current 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3,626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2,434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736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456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Depression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586 (10%)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 (8.4%)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 (13%)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 (15%)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Mean (SD); n (%)</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vertAlign w:val="superscript"/>
                      <w:sz w:val="18"/>
                      <w:szCs w:val="18"/>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Kruskal-Wallis rank sum test; Pearson's Chi-squared test</w:t>
                  </w:r>
                </w:p>
              </w:tc>
            </w:tr>
          </w:tbl>
          <w:bookmarkEnd w:id="34"/>
        </w:tc>
      </w:tr>
    </w:tbl>
    <w:p>
      <w:pPr>
        <w:pStyle w:val="BodyText"/>
      </w:pPr>
      <w:r>
        <w:t xml:space="preserve">Participants in the high-variability group were slightly younger than those in the low-variability group (58.79 vs. 59.67 years, p &lt; 0.001), but had a higher baseline BMI (28.44 vs. 26.91, p &lt; 0.001). Higher BMI variability was also associated with lower log household wealth (11.34 vs. 12.21, p &lt; 0.001), a higher prevalence of multiple chronic conditions (25% vs. 16% with &gt;=2 chronic conditions, p &lt; 0.001), lower insurance coverage (86% vs. 92%, p &lt; 0.001), and higher depression prevalence (15% vs. 8.4%, p &lt; 0.001). Women and individuals reporting disability were more common in the high-variability group. Race/ethnicity and smoking status were broadly similar across BMI variability groups, while education showed only modest differences. In this sample, higher BMI variability clustered with higher baseline BMI, greater clinical burden, and less favorable socioeconomic conditions.</w:t>
      </w:r>
    </w:p>
    <w:bookmarkEnd w:id="35"/>
    <w:bookmarkEnd w:id="36"/>
    <w:bookmarkStart w:id="38" w:name="cox-regression-analysis"/>
    <w:p>
      <w:pPr>
        <w:pStyle w:val="Heading2"/>
      </w:pPr>
      <w:r>
        <w:t xml:space="preserve">4.2 Cox Regression Analysis</w:t>
      </w:r>
    </w:p>
    <w:p>
      <w:pPr>
        <w:pStyle w:val="FirstParagraph"/>
      </w:pPr>
      <w:hyperlink w:anchor="tbl-cox-results">
        <w:r>
          <w:rPr>
            <w:rStyle w:val="Hyperlink"/>
          </w:rPr>
          <w:t xml:space="preserve">Table 2</w:t>
        </w:r>
      </w:hyperlink>
      <w:r>
        <w:t xml:space="preserve"> </w:t>
      </w:r>
      <w:r>
        <w:t xml:space="preserve">presents the association between BMI variability and incident dementia across three landmark waves (W3, W6, and W9).</w:t>
      </w:r>
    </w:p>
    <w:tbl>
      <w:tblPr>
        <w:tblStyle w:val="Table"/>
        <w:tblW w:type="pct" w:w="5000"/>
        <w:tblLayout w:type="fixed"/>
        <w:tblLook w:firstRow="0" w:lastRow="0" w:firstColumn="0" w:lastColumn="0" w:noHBand="0" w:noVBand="0" w:val="0000"/>
      </w:tblPr>
      <w:tblGrid>
        <w:gridCol w:w="7920"/>
      </w:tblGrid>
      <w:tr>
        <w:tc>
          <w:tcPr/>
          <w:bookmarkStart w:id="37" w:name="tbl-cox-results"/>
          <w:p>
            <w:pPr>
              <w:jc w:val="center"/>
            </w:pPr>
            <w:pPr>
              <w:jc w:val="left"/>
              <w:spacing w:before="200"/>
              <w:pStyle w:val="ImageCaption"/>
            </w:pPr>
            <w:r>
              <w:t xml:space="preserve">Table 2: Association of BMI variability and risk of all-cause dementia across W3, W6, and W9.</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6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BMIV categories, HR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r>
            <w:tr>
              <w:trPr>
                <w:trHeight w:val="46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Events / at risk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Continuous HR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High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 for trend</w:t>
                  </w:r>
                </w:p>
              </w:tc>
            </w:tr>
            <w:tr>
              <w:trPr>
                <w:trHeight w:val="467"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469/5993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1.03 (1.00, 1.06)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 (0.91, 1.43)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 (1.02, 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0.021</w:t>
                  </w:r>
                </w:p>
              </w:tc>
            </w:tr>
            <w:tr>
              <w:trPr>
                <w:trHeight w:val="46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469/5993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1.02 (1.00,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 (0.90,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1.36 (1.03,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67"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225/4137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1.06 (1.02,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1.35 (1.01,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1.31 (0.92,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0.004</w:t>
                  </w:r>
                </w:p>
              </w:tc>
            </w:tr>
            <w:tr>
              <w:trPr>
                <w:trHeight w:val="46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225/4137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1.06 (1.02,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1.35 (1.00,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(0.99,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0.002</w:t>
                  </w:r>
                </w:p>
              </w:tc>
            </w:tr>
            <w:tr>
              <w:trPr>
                <w:trHeight w:val="467"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 (0.95,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 (0.62,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 (0.71,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467"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63/2660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 (0.95, 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 (0.63, 2.13)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 (0.72, 2.81)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0.307</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Model 1 is the unadjusted model and Model 2 is the adjusted model.</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Continuous HR represents the change in dementia risk per 1-unit increase in BMIV (CV, %).</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BMIV groups were defined using W9 tertile cutpoints: Low ≤ 3.9%, Mid &gt; 3.9% to ≤ 6.5%, and High &gt; 6.5%.</w:t>
                  </w:r>
                </w:p>
              </w:tc>
            </w:tr>
          </w:tbl>
          <w:bookmarkEnd w:id="37"/>
        </w:tc>
      </w:tr>
    </w:tbl>
    <w:p>
      <w:pPr>
        <w:pStyle w:val="BodyText"/>
      </w:pPr>
      <w:r>
        <w:t xml:space="preserve">In the W3 landmark analysis, higher BMI variability was associated with increased dementia risk in the unadjusted model (HR = 1.03 per 1% increase in CV, 95% CI: 1.00-1.06, p = 0.021). After adjustment for demographic, socioeconomic, and health-related covariates, the association was attenuated and became marginally significant (HR = 1.02, 95% CI: 1.00-1.05, p = 0.053). In categorical analyses, compared with the low BMIV group, the high variability group had a significantly higher adjusted hazard of dementia (HR = 1.36, 95% CI: 1.03-1.80), while the medium variability group showed a non-significant increase (HR = 1.13, 95% CI: 0.90-1.42).</w:t>
      </w:r>
    </w:p>
    <w:p>
      <w:pPr>
        <w:pStyle w:val="BodyText"/>
      </w:pPr>
      <w:r>
        <w:t xml:space="preserve">The association was strongest at the W6 landmark, where a longer measurement window was available. The adjusted continuous HR was 1.06 (95% CI: 1.02-1.10, p = 0.002), and the adjusted categorical HR for high versus low BMIV was 1.44 (95% CI: 0.99-2.10). At the W9 landmark, point estimates remained in the same direction (adjusted continuous HR = 1.05) but did not reach statistical significance. The W9 analysis had fewer participants and events (N = 2,660; 63 events), so estimates from this window were less precise.</w:t>
      </w:r>
    </w:p>
    <w:bookmarkEnd w:id="38"/>
    <w:bookmarkStart w:id="55" w:name="predictive-modeling-analysis-1"/>
    <w:p>
      <w:pPr>
        <w:pStyle w:val="Heading2"/>
      </w:pPr>
      <w:r>
        <w:t xml:space="preserve">4.3 Predictive Modeling Analysis</w:t>
      </w:r>
    </w:p>
    <w:p>
      <w:pPr>
        <w:pStyle w:val="FirstParagraph"/>
      </w:pPr>
      <w:r>
        <w:t xml:space="preserve">The W3 fixed-horizon prediction dataset included 4,676 participants, of whom 140 (3.0%) developed dementia by 2010. This was substantially smaller than the W3 Cox analysis sample (5,993 participants, 469 events, 7.8%) because the predictive analysis used a fixed 10-year window and required non-cases to be observed through 2010.</w:t>
      </w:r>
    </w:p>
    <w:p>
      <w:pPr>
        <w:pStyle w:val="BodyText"/>
      </w:pPr>
      <w:r>
        <w:t xml:space="preserve">Across 10-fold cross-validation in the training set, all three fitted models outperformed the null model (</w:t>
      </w:r>
      <w:hyperlink w:anchor="fig-ml-cv-comparison">
        <w:r>
          <w:rPr>
            <w:rStyle w:val="Hyperlink"/>
          </w:rPr>
          <w:t xml:space="preserve">Figure 4</w:t>
        </w:r>
      </w:hyperlink>
      <w:r>
        <w:t xml:space="preserve">). LASSO logistic regression had the highest cross-validated ROC AUC (0.753), followed closely by standard logistic regression (0.750), while the random forest had a lower ROC AUC (0.720). PR AUC values were low because dementia was rare, but each fitted model improved on the null baseline PR AUC of 0.028. Brier scores were very close across models and only slightly lower than the null model, indicating limited improvement in probabilistic prediction error.</w:t>
      </w:r>
    </w:p>
    <w:tbl>
      <w:tblPr>
        <w:tblStyle w:val="Table"/>
        <w:tblW w:type="pct" w:w="5000"/>
        <w:tblLayout w:type="fixed"/>
        <w:tblLook w:firstRow="0" w:lastRow="0" w:firstColumn="0" w:lastColumn="0" w:noHBand="0" w:noVBand="0" w:val="0000"/>
      </w:tblPr>
      <w:tblGrid>
        <w:gridCol w:w="7920"/>
      </w:tblGrid>
      <w:tr>
        <w:tc>
          <w:tcPr/>
          <w:bookmarkStart w:id="42" w:name="fig-ml-cv-comparison"/>
          <w:p>
            <w:pPr>
              <w:pStyle w:val="Compact"/>
              <w:jc w:val="center"/>
            </w:pPr>
            <w:r>
              <w:drawing>
                <wp:inline>
                  <wp:extent cx="5334000" cy="2667000"/>
                  <wp:effectExtent b="0" l="0" r="0" t="0"/>
                  <wp:docPr descr="" title="" id="40" name="Picture"/>
                  <a:graphic>
                    <a:graphicData uri="http://schemas.openxmlformats.org/drawingml/2006/picture">
                      <pic:pic>
                        <pic:nvPicPr>
                          <pic:cNvPr descr="../../results/figures/ml_model_comparison.png" id="41"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Cross-validated model performance in the W3 10-year dementia prediction analysis. The red dashed line indicates null model performance.</w:t>
            </w:r>
          </w:p>
          <w:bookmarkEnd w:id="42"/>
        </w:tc>
      </w:tr>
    </w:tbl>
    <w:p>
      <w:pPr>
        <w:pStyle w:val="BodyText"/>
      </w:pPr>
      <w:r>
        <w:t xml:space="preserve">On the test set, LASSO logistic regression again had the highest ROC AUC (0.660), followed by random forest (0.658) and logistic regression (0.652) (</w:t>
      </w:r>
      <w:hyperlink w:anchor="fig-ml-roc">
        <w:r>
          <w:rPr>
            <w:rStyle w:val="Hyperlink"/>
          </w:rPr>
          <w:t xml:space="preserve">Figure 5</w:t>
        </w:r>
      </w:hyperlink>
      <w:r>
        <w:t xml:space="preserve">). The PR AUC values were 0.083 for logistic regression, 0.081 for LASSO logistic regression, and 0.078 for random forest, compared with 0.035 for the null model (</w:t>
      </w:r>
      <w:hyperlink w:anchor="fig-ml-pr">
        <w:r>
          <w:rPr>
            <w:rStyle w:val="Hyperlink"/>
          </w:rPr>
          <w:t xml:space="preserve">Figure 6</w:t>
        </w:r>
      </w:hyperlink>
      <w:r>
        <w:t xml:space="preserve">). The models therefore separated future dementia cases from non-cases better than the event-rate baseline, but the test-set curves show that prediction remained difficult.</w:t>
      </w:r>
    </w:p>
    <w:tbl>
      <w:tblPr>
        <w:tblStyle w:val="Table"/>
        <w:tblW w:type="pct" w:w="5000"/>
        <w:tblLayout w:type="fixed"/>
        <w:tblLook w:firstRow="0" w:lastRow="0" w:firstColumn="0" w:lastColumn="0" w:noHBand="0" w:noVBand="0" w:val="0000"/>
      </w:tblPr>
      <w:tblGrid>
        <w:gridCol w:w="7920"/>
      </w:tblGrid>
      <w:tr>
        <w:tc>
          <w:tcPr/>
          <w:bookmarkStart w:id="46" w:name="fig-ml-roc"/>
          <w:p>
            <w:pPr>
              <w:pStyle w:val="Compact"/>
              <w:jc w:val="center"/>
            </w:pPr>
            <w:r>
              <w:drawing>
                <wp:inline>
                  <wp:extent cx="5334000" cy="4572000"/>
                  <wp:effectExtent b="0" l="0" r="0" t="0"/>
                  <wp:docPr descr="" title="" id="44" name="Picture"/>
                  <a:graphic>
                    <a:graphicData uri="http://schemas.openxmlformats.org/drawingml/2006/picture">
                      <pic:pic>
                        <pic:nvPicPr>
                          <pic:cNvPr descr="../../results/figures/ml_roc_curves.png" id="45" name="Picture"/>
                          <pic:cNvPicPr>
                            <a:picLocks noChangeArrowheads="1" noChangeAspect="1"/>
                          </pic:cNvPicPr>
                        </pic:nvPicPr>
                        <pic:blipFill>
                          <a:blip r:embed="rId43"/>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ROC curves for W3 10-year dementia prediction models evaluated in the test set.</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ml-pr"/>
          <w:p>
            <w:pPr>
              <w:pStyle w:val="Compact"/>
              <w:jc w:val="center"/>
            </w:pPr>
            <w:r>
              <w:drawing>
                <wp:inline>
                  <wp:extent cx="5334000" cy="4572000"/>
                  <wp:effectExtent b="0" l="0" r="0" t="0"/>
                  <wp:docPr descr="" title="" id="48" name="Picture"/>
                  <a:graphic>
                    <a:graphicData uri="http://schemas.openxmlformats.org/drawingml/2006/picture">
                      <pic:pic>
                        <pic:nvPicPr>
                          <pic:cNvPr descr="../../results/figures/ml_pr_curves.png" id="49" name="Picture"/>
                          <pic:cNvPicPr>
                            <a:picLocks noChangeArrowheads="1" noChangeAspect="1"/>
                          </pic:cNvPicPr>
                        </pic:nvPicPr>
                        <pic:blipFill>
                          <a:blip r:embed="rId47"/>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Precision-recall curves for W3 10-year dementia prediction models evaluated in the test set. The dashed line indicates the test-set event rate.</w:t>
            </w:r>
          </w:p>
          <w:bookmarkEnd w:id="50"/>
        </w:tc>
      </w:tr>
    </w:tbl>
    <w:p>
      <w:pPr>
        <w:pStyle w:val="BodyText"/>
      </w:pPr>
      <w:r>
        <w:t xml:space="preserve">Random forest permutation importance ranked baseline age, household wealth, education, sex, and race/ethnicity among the most important predictors (</w:t>
      </w:r>
      <w:hyperlink w:anchor="fig-ml-rf-importance">
        <w:r>
          <w:rPr>
            <w:rStyle w:val="Hyperlink"/>
          </w:rPr>
          <w:t xml:space="preserve">Figure 7</w:t>
        </w:r>
      </w:hyperlink>
      <w:r>
        <w:t xml:space="preserve">). BMI variability at W3 did not appear among the top predictors. In this fixed 10-year prediction task, short-window BMIV added little predictive information beyond established demographic and socioeconomic variables.</w:t>
      </w:r>
    </w:p>
    <w:tbl>
      <w:tblPr>
        <w:tblStyle w:val="Table"/>
        <w:tblW w:type="pct" w:w="5000"/>
        <w:tblLayout w:type="fixed"/>
        <w:tblLook w:firstRow="0" w:lastRow="0" w:firstColumn="0" w:lastColumn="0" w:noHBand="0" w:noVBand="0" w:val="0000"/>
      </w:tblPr>
      <w:tblGrid>
        <w:gridCol w:w="7920"/>
      </w:tblGrid>
      <w:tr>
        <w:tc>
          <w:tcPr/>
          <w:bookmarkStart w:id="54" w:name="fig-ml-rf-importance"/>
          <w:p>
            <w:pPr>
              <w:pStyle w:val="Compact"/>
              <w:jc w:val="center"/>
            </w:pPr>
            <w:r>
              <w:drawing>
                <wp:inline>
                  <wp:extent cx="5334000" cy="4000499"/>
                  <wp:effectExtent b="0" l="0" r="0" t="0"/>
                  <wp:docPr descr="" title="" id="52" name="Picture"/>
                  <a:graphic>
                    <a:graphicData uri="http://schemas.openxmlformats.org/drawingml/2006/picture">
                      <pic:pic>
                        <pic:nvPicPr>
                          <pic:cNvPr descr="../../results/figures/ml_rf_variable_importance.png" id="53" name="Picture"/>
                          <pic:cNvPicPr>
                            <a:picLocks noChangeArrowheads="1" noChangeAspect="1"/>
                          </pic:cNvPicPr>
                        </pic:nvPicPr>
                        <pic:blipFill>
                          <a:blip r:embed="rId51"/>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Top random forest permutation variable importance values for the W3 10-year dementia prediction analysis.</w:t>
            </w:r>
          </w:p>
          <w:bookmarkEnd w:id="54"/>
        </w:tc>
      </w:tr>
    </w:tbl>
    <w:p>
      <w:r>
        <w:br w:type="page"/>
      </w:r>
    </w:p>
    <w:bookmarkEnd w:id="55"/>
    <w:bookmarkStart w:id="56" w:name="summary-and-interpretation"/>
    <w:p>
      <w:pPr>
        <w:pStyle w:val="Heading2"/>
      </w:pPr>
      <w:r>
        <w:t xml:space="preserve">4.4 Summary and Interpretation</w:t>
      </w:r>
    </w:p>
    <w:p>
      <w:pPr>
        <w:pStyle w:val="FirstParagraph"/>
      </w:pPr>
      <w:r>
        <w:t xml:space="preserve">Across the landmark Cox models, higher BMI variability was generally associated with higher dementia risk. The clearest association appeared at W6, after BMI variability had been measured over a longer period. The high-variability group had roughly 34-44% higher dementia risk than the low-variability group across the main landmark results, although the precision of the estimates varied by wave.</w:t>
      </w:r>
    </w:p>
    <w:p>
      <w:pPr>
        <w:pStyle w:val="BodyText"/>
      </w:pPr>
      <w:r>
        <w:t xml:space="preserve">The predictive modeling analysis answered a different question. Instead of estimating a hazard ratio for BMIV, it asked whether BMIV and baseline covariates could predict 10-year incident dementia after W3. The fitted models discriminated better than the null model, but test-set performance was still limited, and the random forest did not outperform simpler logistic models. In the random forest, W3 BMI variability was less important than established demographic and socioeconomic predictors such as age, education, sex, race/ethnicity, and wealth</w:t>
      </w:r>
      <w:r>
        <w:t xml:space="preserve"> </w:t>
      </w:r>
      <w:r>
        <w:t xml:space="preserve">(8)</w:t>
      </w:r>
      <w:r>
        <w:t xml:space="preserve">. Taken together, the Cox and prediction results point in the same general direction: BMIV is related to dementia risk, but it is not a dominant predictor when considered alongside stronger background risk factors.</w:t>
      </w:r>
    </w:p>
    <w:bookmarkEnd w:id="56"/>
    <w:bookmarkStart w:id="57" w:name="strengths-and-limitations"/>
    <w:p>
      <w:pPr>
        <w:pStyle w:val="Heading2"/>
      </w:pPr>
      <w:r>
        <w:t xml:space="preserve">4.5 Strengths and Limitations</w:t>
      </w:r>
    </w:p>
    <w:p>
      <w:pPr>
        <w:pStyle w:val="FirstParagraph"/>
      </w:pPr>
      <w:r>
        <w:t xml:space="preserve">This project has several strengths. The HRS provides a large, nationally representative cohort with repeated BMI and cognitive measurements over many years. The landmark design helped ensure that BMI variability was measured before dementia follow-up began, reducing the risk of immortal time bias. Examining W3, W6, and W9 also made it possible to compare shorter and longer BMI measurement windows. The predictive analysis added a separate model-evaluation component, including a training/test split, 10-fold cross-validation, tuning, a null baseline, and multiple performance metrics.</w:t>
      </w:r>
    </w:p>
    <w:p>
      <w:pPr>
        <w:pStyle w:val="BodyText"/>
      </w:pPr>
      <w:r>
        <w:t xml:space="preserve">The results should also be interpreted with several limitations in mind. BMI was based on self-reported height and weight, so measurement error is possible. Dementia status came from the Langa-Weir cognitive classification rather than a clinical diagnosis. The complete-case approach may have introduced selection bias if missing covariates were related to both BMI variability and dementia. Death was treated as censoring rather than as a competing risk, which could bias estimates if BMI variability is also associated with mortality. Later landmark analyses, especially W9, had fewer dementia events and less stable estimates. The predictive analysis also reduced a longitudinal process to a fixed 10-year binary outcome and was affected by strong class imbalance. For that reason, the ML component is best read as a model-comparison exercise rather than a replacement for the survival analysis.</w:t>
      </w:r>
    </w:p>
    <w:bookmarkEnd w:id="57"/>
    <w:bookmarkStart w:id="58" w:name="conclusions"/>
    <w:p>
      <w:pPr>
        <w:pStyle w:val="Heading2"/>
      </w:pPr>
      <w:r>
        <w:t xml:space="preserve">4.6 Conclusions</w:t>
      </w:r>
    </w:p>
    <w:p>
      <w:pPr>
        <w:pStyle w:val="FirstParagraph"/>
      </w:pPr>
      <w:r>
        <w:t xml:space="preserve">Greater long-term BMI variability was associated with a modestly higher risk of incident dementia among older U.S. adults, with the strongest association observed at the W6 landmark. In the predictive analysis, logistic and LASSO models performed similarly to or slightly better than the random forest, but all models had limited test-set performance because dementia events were rare. BMI variability appears to be a useful risk marker, but not a strong standalone predictor. Future work should clarify the mechanisms linking weight instability to cognitive outcomes and evaluate whether maintaining weight stability can contribute to dementia prevention.</w:t>
      </w:r>
    </w:p>
    <w:p>
      <w:r>
        <w:br w:type="page"/>
      </w:r>
    </w:p>
    <w:bookmarkEnd w:id="58"/>
    <w:bookmarkEnd w:id="59"/>
    <w:bookmarkStart w:id="77" w:name="references"/>
    <w:p>
      <w:pPr>
        <w:pStyle w:val="Heading1"/>
      </w:pPr>
      <w:r>
        <w:t xml:space="preserve">5. References</w:t>
      </w:r>
    </w:p>
    <w:bookmarkStart w:id="76" w:name="refs"/>
    <w:bookmarkStart w:id="61" w:name="ref-fitzpatrick2009"/>
    <w:p>
      <w:pPr>
        <w:pStyle w:val="Bibliography"/>
      </w:pPr>
      <w:r>
        <w:t xml:space="preserve">1.</w:t>
      </w:r>
      <w:r>
        <w:t xml:space="preserve"> </w:t>
      </w:r>
      <w:r>
        <w:t xml:space="preserve">	</w:t>
      </w:r>
      <w:r>
        <w:t xml:space="preserve">Fitzpatrick AL, Kuller LH, Lopez OL, et al. Midlife and late-life obesity and the risk of dementia: Cardiovascular health study.</w:t>
      </w:r>
      <w:r>
        <w:t xml:space="preserve"> </w:t>
      </w:r>
      <w:r>
        <w:rPr>
          <w:i/>
          <w:iCs/>
        </w:rPr>
        <w:t xml:space="preserve">Archives of Neurology</w:t>
      </w:r>
      <w:r>
        <w:t xml:space="preserve"> </w:t>
      </w:r>
      <w:r>
        <w:t xml:space="preserve">[electronic article]. 2009;66(3):336–342. (</w:t>
      </w:r>
      <w:hyperlink r:id="rId60">
        <w:r>
          <w:rPr>
            <w:rStyle w:val="Hyperlink"/>
          </w:rPr>
          <w:t xml:space="preserve">https://doi.org/10.1001/archneurol.2008.582</w:t>
        </w:r>
      </w:hyperlink>
      <w:r>
        <w:t xml:space="preserve">)</w:t>
      </w:r>
    </w:p>
    <w:bookmarkEnd w:id="61"/>
    <w:bookmarkStart w:id="63" w:name="ref-li2021"/>
    <w:p>
      <w:pPr>
        <w:pStyle w:val="Bibliography"/>
      </w:pPr>
      <w:r>
        <w:t xml:space="preserve">2.</w:t>
      </w:r>
      <w:r>
        <w:t xml:space="preserve"> </w:t>
      </w:r>
      <w:r>
        <w:t xml:space="preserve">	</w:t>
      </w:r>
      <w:r>
        <w:t xml:space="preserve">Li J, Joshi P, Ang TFA, et al. Mid- to late-life body mass index and dementia risk: 38 years of follow-up of the framingham study.</w:t>
      </w:r>
      <w:r>
        <w:t xml:space="preserve"> </w:t>
      </w:r>
      <w:r>
        <w:rPr>
          <w:i/>
          <w:iCs/>
        </w:rPr>
        <w:t xml:space="preserve">American Journal of Epidemiology</w:t>
      </w:r>
      <w:r>
        <w:t xml:space="preserve"> </w:t>
      </w:r>
      <w:r>
        <w:t xml:space="preserve">[electronic article]. 2021;190(12):2503–2510. (</w:t>
      </w:r>
      <w:hyperlink r:id="rId62">
        <w:r>
          <w:rPr>
            <w:rStyle w:val="Hyperlink"/>
          </w:rPr>
          <w:t xml:space="preserve">https://pmc.ncbi.nlm.nih.gov/articles/PMC8796797/</w:t>
        </w:r>
      </w:hyperlink>
      <w:r>
        <w:t xml:space="preserve">)</w:t>
      </w:r>
    </w:p>
    <w:bookmarkEnd w:id="63"/>
    <w:bookmarkStart w:id="65" w:name="ref-kivimaki2018"/>
    <w:p>
      <w:pPr>
        <w:pStyle w:val="Bibliography"/>
      </w:pPr>
      <w:r>
        <w:t xml:space="preserve">3.</w:t>
      </w:r>
      <w:r>
        <w:t xml:space="preserve"> </w:t>
      </w:r>
      <w:r>
        <w:t xml:space="preserve">	</w:t>
      </w:r>
      <w:r>
        <w:t xml:space="preserve">Kivimäki M, Luukkonen R, Batty GD, et al. Body mass index and risk of dementia: Analysis of individual-level data from 1.3 million individuals.</w:t>
      </w:r>
      <w:r>
        <w:t xml:space="preserve"> </w:t>
      </w:r>
      <w:r>
        <w:rPr>
          <w:i/>
          <w:iCs/>
        </w:rPr>
        <w:t xml:space="preserve">Alzheimer’s &amp; Dementia</w:t>
      </w:r>
      <w:r>
        <w:t xml:space="preserve"> </w:t>
      </w:r>
      <w:r>
        <w:t xml:space="preserve">[electronic article]. 2018;14(5):601–609. (</w:t>
      </w:r>
      <w:hyperlink r:id="rId64">
        <w:r>
          <w:rPr>
            <w:rStyle w:val="Hyperlink"/>
          </w:rPr>
          <w:t xml:space="preserve">https://www.sciencedirect.com/science/article/pii/S1552526017338116</w:t>
        </w:r>
      </w:hyperlink>
      <w:r>
        <w:t xml:space="preserve">)</w:t>
      </w:r>
    </w:p>
    <w:bookmarkEnd w:id="65"/>
    <w:bookmarkStart w:id="67" w:name="ref-singhmanoux2018"/>
    <w:p>
      <w:pPr>
        <w:pStyle w:val="Bibliography"/>
      </w:pPr>
      <w:r>
        <w:t xml:space="preserve">4.</w:t>
      </w:r>
      <w:r>
        <w:t xml:space="preserve"> </w:t>
      </w:r>
      <w:r>
        <w:t xml:space="preserve">	</w:t>
      </w:r>
      <w:r>
        <w:t xml:space="preserve">Singh-Manoux A, Dugravot A, Shipley M, et al. Obesity trajectories and risk of dementia: 28 years of follow-up in the whitehall II study.</w:t>
      </w:r>
      <w:r>
        <w:t xml:space="preserve"> </w:t>
      </w:r>
      <w:r>
        <w:rPr>
          <w:i/>
          <w:iCs/>
        </w:rPr>
        <w:t xml:space="preserve">Alzheimer’s &amp; Dementia</w:t>
      </w:r>
      <w:r>
        <w:t xml:space="preserve"> </w:t>
      </w:r>
      <w:r>
        <w:t xml:space="preserve">[electronic article]. 2018;14(2):178–186. (</w:t>
      </w:r>
      <w:hyperlink r:id="rId66">
        <w:r>
          <w:rPr>
            <w:rStyle w:val="Hyperlink"/>
          </w:rPr>
          <w:t xml:space="preserve">https://pmc.ncbi.nlm.nih.gov/articles/PMC5805839/</w:t>
        </w:r>
      </w:hyperlink>
      <w:r>
        <w:t xml:space="preserve">)</w:t>
      </w:r>
    </w:p>
    <w:bookmarkEnd w:id="67"/>
    <w:bookmarkStart w:id="69" w:name="ref-beeri2022"/>
    <w:p>
      <w:pPr>
        <w:pStyle w:val="Bibliography"/>
      </w:pPr>
      <w:r>
        <w:t xml:space="preserve">5.</w:t>
      </w:r>
      <w:r>
        <w:t xml:space="preserve"> </w:t>
      </w:r>
      <w:r>
        <w:t xml:space="preserve">	</w:t>
      </w:r>
      <w:r>
        <w:t xml:space="preserve">Beeri MS, Tirosh A, Lin H-M, et al. Stability in BMI over time is associated with a better cognitive trajectory in older adults.</w:t>
      </w:r>
      <w:r>
        <w:t xml:space="preserve"> </w:t>
      </w:r>
      <w:r>
        <w:rPr>
          <w:i/>
          <w:iCs/>
        </w:rPr>
        <w:t xml:space="preserve">Alzheimer’s &amp; Dementia</w:t>
      </w:r>
      <w:r>
        <w:t xml:space="preserve"> </w:t>
      </w:r>
      <w:r>
        <w:t xml:space="preserve">[electronic article]. 2022;18(11):2131–2139. (</w:t>
      </w:r>
      <w:hyperlink r:id="rId68">
        <w:r>
          <w:rPr>
            <w:rStyle w:val="Hyperlink"/>
          </w:rPr>
          <w:t xml:space="preserve">https://onlinelibrary.wiley.com/doi/abs/10.1002/alz.12525</w:t>
        </w:r>
      </w:hyperlink>
      <w:r>
        <w:t xml:space="preserve">)</w:t>
      </w:r>
    </w:p>
    <w:bookmarkEnd w:id="69"/>
    <w:bookmarkStart w:id="71" w:name="ref-guo2022"/>
    <w:p>
      <w:pPr>
        <w:pStyle w:val="Bibliography"/>
      </w:pPr>
      <w:r>
        <w:t xml:space="preserve">6.</w:t>
      </w:r>
      <w:r>
        <w:t xml:space="preserve"> </w:t>
      </w:r>
      <w:r>
        <w:t xml:space="preserve">	</w:t>
      </w:r>
      <w:r>
        <w:t xml:space="preserve">Guo J, Wang J, Dove A, et al. Body mass index trajectories preceding incident mild cognitive impairment and dementia.</w:t>
      </w:r>
      <w:r>
        <w:t xml:space="preserve"> </w:t>
      </w:r>
      <w:r>
        <w:rPr>
          <w:i/>
          <w:iCs/>
        </w:rPr>
        <w:t xml:space="preserve">JAMA Psychiatry</w:t>
      </w:r>
      <w:r>
        <w:t xml:space="preserve"> </w:t>
      </w:r>
      <w:r>
        <w:t xml:space="preserve">[electronic article]. 2022;79(12):1180–1187. (</w:t>
      </w:r>
      <w:hyperlink r:id="rId70">
        <w:r>
          <w:rPr>
            <w:rStyle w:val="Hyperlink"/>
          </w:rPr>
          <w:t xml:space="preserve">https://jamanetwork.com/journals/jamapsychiatry/fullarticle/2797529</w:t>
        </w:r>
      </w:hyperlink>
      <w:r>
        <w:t xml:space="preserve">)</w:t>
      </w:r>
    </w:p>
    <w:bookmarkEnd w:id="71"/>
    <w:bookmarkStart w:id="73" w:name="ref-xu2025"/>
    <w:p>
      <w:pPr>
        <w:pStyle w:val="Bibliography"/>
      </w:pPr>
      <w:r>
        <w:t xml:space="preserve">7.</w:t>
      </w:r>
      <w:r>
        <w:t xml:space="preserve"> </w:t>
      </w:r>
      <w:r>
        <w:t xml:space="preserve">	</w:t>
      </w:r>
      <w:r>
        <w:t xml:space="preserve">Xu Q, Sung MH, Chen Z, et al.</w:t>
      </w:r>
      <w:r>
        <w:t xml:space="preserve"> </w:t>
      </w:r>
      <w:hyperlink r:id="rId72">
        <w:r>
          <w:rPr>
            <w:rStyle w:val="Hyperlink"/>
          </w:rPr>
          <w:t xml:space="preserve">Association between cumulative BMI and cognitive decline: A 24-year cohort study</w:t>
        </w:r>
      </w:hyperlink>
      <w:r>
        <w:t xml:space="preserve">.</w:t>
      </w:r>
      <w:r>
        <w:t xml:space="preserve"> </w:t>
      </w:r>
      <w:r>
        <w:rPr>
          <w:i/>
          <w:iCs/>
        </w:rPr>
        <w:t xml:space="preserve">Research Square</w:t>
      </w:r>
      <w:r>
        <w:t xml:space="preserve">. 2025;</w:t>
      </w:r>
    </w:p>
    <w:bookmarkEnd w:id="73"/>
    <w:bookmarkStart w:id="75" w:name="ref-mahinrad2023"/>
    <w:p>
      <w:pPr>
        <w:pStyle w:val="Bibliography"/>
      </w:pPr>
      <w:r>
        <w:t xml:space="preserve">8.</w:t>
      </w:r>
      <w:r>
        <w:t xml:space="preserve"> </w:t>
      </w:r>
      <w:r>
        <w:t xml:space="preserve">	</w:t>
      </w:r>
      <w:r>
        <w:t xml:space="preserve">Mahinrad S, Bennett DA, Sorond FA, et al. Blood pressure variability, dementia, and role of antihypertensive medications in older adults.</w:t>
      </w:r>
      <w:r>
        <w:t xml:space="preserve"> </w:t>
      </w:r>
      <w:r>
        <w:rPr>
          <w:i/>
          <w:iCs/>
        </w:rPr>
        <w:t xml:space="preserve">Alzheimer’s &amp; Dementia</w:t>
      </w:r>
      <w:r>
        <w:t xml:space="preserve"> </w:t>
      </w:r>
      <w:r>
        <w:t xml:space="preserve">[electronic article]. 2023;19(7):2966–2974. (</w:t>
      </w:r>
      <w:hyperlink r:id="rId74">
        <w:r>
          <w:rPr>
            <w:rStyle w:val="Hyperlink"/>
          </w:rPr>
          <w:t xml:space="preserve">https://alz-journals.onlinelibrary.wiley.com/doi/10.1002/alz.12935</w:t>
        </w:r>
      </w:hyperlink>
      <w:r>
        <w:t xml:space="preserve">)</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hyperlink" Id="rId74" Target="https://alz-journals.onlinelibrary.wiley.com/doi/10.1002/alz.12935" TargetMode="External" /><Relationship Type="http://schemas.openxmlformats.org/officeDocument/2006/relationships/hyperlink" Id="rId60" Target="https://doi.org/10.1001/archneurol.2008.582" TargetMode="External" /><Relationship Type="http://schemas.openxmlformats.org/officeDocument/2006/relationships/hyperlink" Id="rId72" Target="https://doi.org/10.21203/rs.3.rs-6442210/v1" TargetMode="External" /><Relationship Type="http://schemas.openxmlformats.org/officeDocument/2006/relationships/hyperlink" Id="rId70" Target="https://jamanetwork.com/journals/jamapsychiatry/fullarticle/2797529" TargetMode="External" /><Relationship Type="http://schemas.openxmlformats.org/officeDocument/2006/relationships/hyperlink" Id="rId68" Target="https://onlinelibrary.wiley.com/doi/abs/10.1002/alz.12525" TargetMode="External" /><Relationship Type="http://schemas.openxmlformats.org/officeDocument/2006/relationships/hyperlink" Id="rId66" Target="https://pmc.ncbi.nlm.nih.gov/articles/PMC5805839/" TargetMode="External" /><Relationship Type="http://schemas.openxmlformats.org/officeDocument/2006/relationships/hyperlink" Id="rId62" Target="https://pmc.ncbi.nlm.nih.gov/articles/PMC8796797/" TargetMode="External" /><Relationship Type="http://schemas.openxmlformats.org/officeDocument/2006/relationships/hyperlink" Id="rId64" Target="https://www.sciencedirect.com/science/article/pii/S1552526017338116" TargetMode="External" /></Relationships>
</file>

<file path=word/_rels/footnotes.xml.rels><?xml version="1.0" encoding="UTF-8"?><Relationships xmlns="http://schemas.openxmlformats.org/package/2006/relationships"><Relationship Type="http://schemas.openxmlformats.org/officeDocument/2006/relationships/hyperlink" Id="rId74" Target="https://alz-journals.onlinelibrary.wiley.com/doi/10.1002/alz.12935" TargetMode="External" /><Relationship Type="http://schemas.openxmlformats.org/officeDocument/2006/relationships/hyperlink" Id="rId60" Target="https://doi.org/10.1001/archneurol.2008.582" TargetMode="External" /><Relationship Type="http://schemas.openxmlformats.org/officeDocument/2006/relationships/hyperlink" Id="rId72" Target="https://doi.org/10.21203/rs.3.rs-6442210/v1" TargetMode="External" /><Relationship Type="http://schemas.openxmlformats.org/officeDocument/2006/relationships/hyperlink" Id="rId70" Target="https://jamanetwork.com/journals/jamapsychiatry/fullarticle/2797529" TargetMode="External" /><Relationship Type="http://schemas.openxmlformats.org/officeDocument/2006/relationships/hyperlink" Id="rId68" Target="https://onlinelibrary.wiley.com/doi/abs/10.1002/alz.12525" TargetMode="External" /><Relationship Type="http://schemas.openxmlformats.org/officeDocument/2006/relationships/hyperlink" Id="rId66" Target="https://pmc.ncbi.nlm.nih.gov/articles/PMC5805839/" TargetMode="External" /><Relationship Type="http://schemas.openxmlformats.org/officeDocument/2006/relationships/hyperlink" Id="rId62" Target="https://pmc.ncbi.nlm.nih.gov/articles/PMC8796797/" TargetMode="External" /><Relationship Type="http://schemas.openxmlformats.org/officeDocument/2006/relationships/hyperlink" Id="rId64" Target="https://www.sciencedirect.com/science/article/pii/S15525260173381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Body Mass Index Variability and Dementia Risk in Older Adults: Landmark Cox and Predictive Modeling Analyses</dc:title>
  <dc:creator>Liang Lai</dc:creator>
  <cp:keywords/>
  <dcterms:created xsi:type="dcterms:W3CDTF">2026-05-03T04:43:23Z</dcterms:created>
  <dcterms:modified xsi:type="dcterms:W3CDTF">2026-05-03T04:43:23Z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