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90" w:type="dxa"/>
          <w:bottom w:w="90" w:type="dxa"/>
          <w:left w:w="140" w:type="dxa"/>
          <w:right w:w="140" w:type="dxa"/>
        </w:tblCellMar>
      </w:tblPr>
      <w:tblGrid>
        <w:gridCol w:w="5760"/>
        <w:gridCol w:w="4176"/>
      </w:tblGrid>
      <w:tr>
        <w:tc>
          <w:tcPr>
            <w:tcW w:type="dxa" w:w="5760"/>
            <w:shd w:val="clear" w:color="auto" w:fill="1A2E55"/>
          </w:tcPr>
          <w:p>
            <w:r>
              <w:rPr>
                <w:b/>
                <w:i w:val="0"/>
                <w:color w:val="FFFFFF"/>
                <w:sz w:val="38"/>
              </w:rPr>
              <w:t>SGX Daily Signal Report</w:t>
            </w:r>
          </w:p>
          <w:p>
            <w:r>
              <w:rPr>
                <w:b w:val="0"/>
                <w:i w:val="0"/>
                <w:color w:val="CDE2FB"/>
                <w:sz w:val="19"/>
              </w:rPr>
              <w:t>Friday 30 October 2026  ·  data to the close</w:t>
            </w:r>
          </w:p>
        </w:tc>
        <w:tc>
          <w:tcPr>
            <w:tcW w:type="dxa" w:w="4176"/>
            <w:shd w:val="clear" w:color="auto" w:fill="1A2E55"/>
          </w:tcPr>
          <w:p>
            <w:pPr>
              <w:jc w:val="right"/>
            </w:pPr>
            <w:r>
              <w:rPr>
                <w:b/>
                <w:i w:val="0"/>
                <w:color w:val="FFFFFF"/>
                <w:sz w:val="17"/>
              </w:rPr>
              <w:t>15 SGX stocks  ·  7 sectors</w:t>
            </w:r>
          </w:p>
          <w:p>
            <w:pPr>
              <w:jc w:val="right"/>
            </w:pPr>
            <w:r>
              <w:rPr>
                <w:b w:val="0"/>
                <w:i w:val="0"/>
                <w:color w:val="CDE2FB"/>
                <w:sz w:val="17"/>
              </w:rPr>
              <w:t>Last 5 trading days: 26–30 Oct</w:t>
            </w:r>
          </w:p>
          <w:p>
            <w:pPr>
              <w:jc w:val="right"/>
            </w:pPr>
            <w:r>
              <w:rPr>
                <w:b w:val="0"/>
                <w:i w:val="0"/>
                <w:color w:val="CDE2FB"/>
                <w:sz w:val="17"/>
              </w:rPr>
              <w:t>Sections: 1 today · 2 news &amp; last 5 days · 3 next 3 days · 4 system · 5 findings</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1 · Today in 30 seconds</w:t>
      </w:r>
    </w:p>
    <w:p>
      <w:pPr>
        <w:pStyle w:val="ListBullet"/>
        <w:spacing w:after="40"/>
      </w:pPr>
      <w:r>
        <w:rPr>
          <w:b w:val="0"/>
          <w:i w:val="0"/>
          <w:sz w:val="19"/>
        </w:rPr>
        <w:t>Today the 15 stocks moved -0.2% on average (6 up, 7 down); over 26–30 Oct they moved -1.4%. Weakest: Consumer Goods (-4.5%), REIT (-1.8%) and Financial Services (-1.5%); strongest: Healthcare (+0.6%) and Telecommunications (+0.2%).</w:t>
      </w:r>
    </w:p>
    <w:p>
      <w:pPr>
        <w:pStyle w:val="ListBullet"/>
        <w:spacing w:after="40"/>
      </w:pPr>
      <w:r>
        <w:rPr>
          <w:b w:val="0"/>
          <w:i w:val="0"/>
          <w:sz w:val="19"/>
        </w:rPr>
        <w:t>Biggest movers over 26–30 Oct: Wilmar Intl (-9.9%), Mapletree Industrial (-3.9%) and Sembcorp Industries (-2.7%). For Wilmar Intl, Mapletree Industrial and Sembcorp Industries, the company news and the price point the same way. See section 2.</w:t>
      </w:r>
    </w:p>
    <w:p>
      <w:pPr>
        <w:pStyle w:val="ListBullet"/>
        <w:spacing w:after="40"/>
      </w:pPr>
      <w:r>
        <w:rPr>
          <w:b w:val="0"/>
          <w:i w:val="0"/>
          <w:sz w:val="19"/>
        </w:rPr>
        <w:t>The market backdrop is normal (VIX 19.4), but Singapore ETF options lean defensive (put/call 1.54): more traders are buying protection against a fall.</w:t>
      </w:r>
    </w:p>
    <w:p>
      <w:pPr>
        <w:pStyle w:val="ListBullet"/>
        <w:spacing w:after="40"/>
      </w:pPr>
      <w:r>
        <w:rPr>
          <w:b w:val="0"/>
          <w:i w:val="0"/>
          <w:sz w:val="19"/>
        </w:rPr>
        <w:t>Today's news added no positive or negative signal for any stock. See section 2.</w:t>
      </w:r>
    </w:p>
    <w:p>
      <w:pPr>
        <w:pStyle w:val="ListBullet"/>
        <w:spacing w:after="40"/>
      </w:pPr>
      <w:r>
        <w:rPr>
          <w:b w:val="0"/>
          <w:i w:val="0"/>
          <w:sz w:val="19"/>
        </w:rPr>
        <w:t>The forecast model expects no big move for any of the 15 stocks; normal 3-day swings run from ±1.3% (ComfortDelGro) to ±3.1% (Wilmar Intl), so a bigger move than a stock's own swing would be unusual. See section 3.</w:t>
      </w:r>
    </w:p>
    <w:p>
      <w:pPr>
        <w:pStyle w:val="ListBullet"/>
        <w:spacing w:after="40"/>
      </w:pPr>
      <w:r>
        <w:rPr>
          <w:b w:val="0"/>
          <w:i w:val="0"/>
          <w:sz w:val="19"/>
        </w:rPr>
        <w:t>No stock is flagged ⚑ today. If you prefer less day-to-day movement, ComfortDelGro, OCBC Bank, SGX Group, ST Engineering and Singtel have the highest chance of no big move.</w:t>
      </w:r>
    </w:p>
    <w:p>
      <w:pPr>
        <w:spacing w:after="40"/>
      </w:pPr>
      <w:r>
        <w:rPr>
          <w:b w:val="0"/>
          <w:i w:val="0"/>
          <w:color w:val="52514E"/>
          <w:sz w:val="14"/>
        </w:rPr>
        <w:t>Drafted by code from the day's data and analysis; the AI writer (openai/gpt-oss-20b, the same model that writes the news summaries) checked it and kept the wording; every number was filled in by code and the text passed the report's checks.</w:t>
      </w:r>
    </w:p>
    <w:p>
      <w:pPr>
        <w:spacing w:after="40"/>
      </w:pPr>
      <w:r>
        <w:rPr>
          <w:b w:val="0"/>
          <w:i w:val="0"/>
          <w:color w:val="1A2E55"/>
          <w:sz w:val="16"/>
        </w:rPr>
        <w:t>Which parts can you rely on? Each kind of statement was tested on past data (results in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80" w:type="dxa"/>
          <w:right w:w="80" w:type="dxa"/>
        </w:tblCellMar>
      </w:tblPr>
      <w:tblGrid>
        <w:gridCol w:w="1987"/>
        <w:gridCol w:w="1987"/>
        <w:gridCol w:w="1987"/>
        <w:gridCol w:w="1987"/>
        <w:gridCol w:w="1987"/>
      </w:tblGrid>
      <w:tr>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Prices and changes: fact (sections 1-2)</w:t>
            </w:r>
          </w:p>
        </w:tc>
        <w:tc>
          <w:tcPr>
            <w:tcW w:type="dxa" w:w="1987"/>
            <w:shd w:val="clear" w:color="auto" w:fill="EFEEEA"/>
            <w:tcBorders>
              <w:left w:val="single" w:sz="6" w:color="FFFFFF"/>
              <w:right w:val="single" w:sz="6" w:color="FFFFFF"/>
            </w:tcBorders>
          </w:tcPr>
          <w:p>
            <w:r>
              <w:rPr>
                <w:b/>
                <w:i w:val="0"/>
                <w:color w:val="52514E"/>
                <w:sz w:val="16"/>
              </w:rPr>
              <w:t xml:space="preserve">○  </w:t>
            </w:r>
            <w:r>
              <w:rPr>
                <w:b w:val="0"/>
                <w:i w:val="0"/>
                <w:color w:val="52514E"/>
                <w:sz w:val="14"/>
              </w:rPr>
              <w:t>News &amp; signals: describe today, not a forecast (sections 1-2)</w:t>
            </w:r>
          </w:p>
        </w:tc>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Normal 3-day swing: reliable, held 74 times in 100 (section 3)</w:t>
            </w:r>
          </w:p>
        </w:tc>
        <w:tc>
          <w:tcPr>
            <w:tcW w:type="dxa" w:w="1987"/>
            <w:shd w:val="clear" w:color="auto" w:fill="FFF1D1"/>
            <w:tcBorders>
              <w:left w:val="single" w:sz="6" w:color="FFFFFF"/>
              <w:right w:val="single" w:sz="6" w:color="FFFFFF"/>
            </w:tcBorders>
          </w:tcPr>
          <w:p>
            <w:r>
              <w:rPr>
                <w:b/>
                <w:i w:val="0"/>
                <w:color w:val="8A5A00"/>
                <w:sz w:val="16"/>
              </w:rPr>
              <w:t xml:space="preserve">!  </w:t>
            </w:r>
            <w:r>
              <w:rPr>
                <w:b w:val="0"/>
                <w:i w:val="0"/>
                <w:color w:val="8A5A00"/>
                <w:sz w:val="14"/>
              </w:rPr>
              <w:t>Calmer than most: promising, still being confirmed (section 3)</w:t>
            </w:r>
          </w:p>
        </w:tc>
        <w:tc>
          <w:tcPr>
            <w:tcW w:type="dxa" w:w="1987"/>
            <w:shd w:val="clear" w:color="auto" w:fill="FBE1E0"/>
            <w:tcBorders>
              <w:left w:val="single" w:sz="6" w:color="FFFFFF"/>
              <w:right w:val="single" w:sz="6" w:color="FFFFFF"/>
            </w:tcBorders>
          </w:tcPr>
          <w:p>
            <w:r>
              <w:rPr>
                <w:b/>
                <w:i w:val="0"/>
                <w:color w:val="A12D2C"/>
                <w:sz w:val="16"/>
              </w:rPr>
              <w:t xml:space="preserve">✗  </w:t>
            </w:r>
            <w:r>
              <w:rPr>
                <w:b w:val="0"/>
                <w:i w:val="0"/>
                <w:color w:val="A12D2C"/>
                <w:sz w:val="14"/>
              </w:rPr>
              <w:t>Up-or-down lean: not reliable, even with ✓ (section 3)</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All 15 stocks today</w:t>
      </w:r>
    </w:p>
    <w:p>
      <w:pPr>
        <w:spacing w:after="40"/>
      </w:pPr>
      <w:r>
        <w:rPr>
          <w:b w:val="0"/>
          <w:i w:val="0"/>
          <w:color w:val="52514E"/>
          <w:sz w:val="17"/>
        </w:rPr>
        <w:t>Ranked by today's news-and-signals reading, most positive first. Market-wide today: Singapore ETF options lean negative; this applies to all 15 and is not repeated below.</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2" w:type="dxa"/>
          <w:bottom w:w="22" w:type="dxa"/>
          <w:left w:w="60" w:type="dxa"/>
          <w:right w:w="60" w:type="dxa"/>
        </w:tblCellMar>
      </w:tblPr>
      <w:tblGrid>
        <w:gridCol w:w="360"/>
        <w:gridCol w:w="2189"/>
        <w:gridCol w:w="662"/>
        <w:gridCol w:w="792"/>
        <w:gridCol w:w="1037"/>
        <w:gridCol w:w="1382"/>
        <w:gridCol w:w="1872"/>
        <w:gridCol w:w="1642"/>
      </w:tblGrid>
      <w:tr>
        <w:tc>
          <w:tcPr>
            <w:tcW w:type="dxa" w:w="360"/>
            <w:shd w:val="clear" w:color="auto" w:fill="1A2E55"/>
          </w:tcPr>
          <w:p>
            <w:r>
              <w:rPr>
                <w:b/>
                <w:i w:val="0"/>
                <w:color w:val="FFFFFF"/>
                <w:sz w:val="14"/>
              </w:rPr>
              <w:t>#</w:t>
            </w:r>
          </w:p>
        </w:tc>
        <w:tc>
          <w:tcPr>
            <w:tcW w:type="dxa" w:w="2189"/>
            <w:shd w:val="clear" w:color="auto" w:fill="1A2E55"/>
          </w:tcPr>
          <w:p>
            <w:r>
              <w:rPr>
                <w:b/>
                <w:i w:val="0"/>
                <w:color w:val="FFFFFF"/>
                <w:sz w:val="14"/>
              </w:rPr>
              <w:t>Stock</w:t>
            </w:r>
          </w:p>
        </w:tc>
        <w:tc>
          <w:tcPr>
            <w:tcW w:type="dxa" w:w="662"/>
            <w:shd w:val="clear" w:color="auto" w:fill="1A2E55"/>
          </w:tcPr>
          <w:p>
            <w:pPr>
              <w:jc w:val="right"/>
            </w:pPr>
            <w:r>
              <w:rPr>
                <w:b/>
                <w:i w:val="0"/>
                <w:color w:val="FFFFFF"/>
                <w:sz w:val="14"/>
              </w:rPr>
              <w:t>Today</w:t>
            </w:r>
          </w:p>
        </w:tc>
        <w:tc>
          <w:tcPr>
            <w:tcW w:type="dxa" w:w="792"/>
            <w:shd w:val="clear" w:color="auto" w:fill="1A2E55"/>
          </w:tcPr>
          <w:p>
            <w:pPr>
              <w:jc w:val="right"/>
            </w:pPr>
            <w:r>
              <w:rPr>
                <w:b/>
                <w:i w:val="0"/>
                <w:color w:val="FFFFFF"/>
                <w:sz w:val="14"/>
              </w:rPr>
              <w:t>26–30 Oct</w:t>
            </w:r>
          </w:p>
        </w:tc>
        <w:tc>
          <w:tcPr>
            <w:tcW w:type="dxa" w:w="1037"/>
            <w:shd w:val="clear" w:color="auto" w:fill="1A2E55"/>
          </w:tcPr>
          <w:p>
            <w:r>
              <w:rPr>
                <w:b/>
                <w:i w:val="0"/>
                <w:color w:val="FFFFFF"/>
                <w:sz w:val="14"/>
              </w:rPr>
              <w:t>News &amp; signals</w:t>
            </w:r>
          </w:p>
        </w:tc>
        <w:tc>
          <w:tcPr>
            <w:tcW w:type="dxa" w:w="1382"/>
            <w:shd w:val="clear" w:color="auto" w:fill="1A2E55"/>
          </w:tcPr>
          <w:p>
            <w:r>
              <w:rPr>
                <w:b/>
                <w:i w:val="0"/>
                <w:color w:val="FFFFFF"/>
                <w:sz w:val="14"/>
              </w:rPr>
              <w:t>News today</w:t>
            </w:r>
          </w:p>
        </w:tc>
        <w:tc>
          <w:tcPr>
            <w:tcW w:type="dxa" w:w="1872"/>
            <w:shd w:val="clear" w:color="auto" w:fill="1A2E55"/>
          </w:tcPr>
          <w:p>
            <w:r>
              <w:rPr>
                <w:b/>
                <w:i w:val="0"/>
                <w:color w:val="FFFFFF"/>
                <w:sz w:val="14"/>
              </w:rPr>
              <w:t>Price chart</w:t>
            </w:r>
          </w:p>
        </w:tc>
        <w:tc>
          <w:tcPr>
            <w:tcW w:type="dxa" w:w="1642"/>
            <w:shd w:val="clear" w:color="auto" w:fill="1A2E55"/>
          </w:tcPr>
          <w:p>
            <w:r>
              <w:rPr>
                <w:b/>
                <w:i w:val="0"/>
                <w:color w:val="FFFFFF"/>
                <w:sz w:val="14"/>
              </w:rPr>
              <w:t>Price vs news</w:t>
            </w:r>
          </w:p>
        </w:tc>
      </w:tr>
      <w:tr>
        <w:tc>
          <w:tcPr>
            <w:tcW w:type="dxa" w:w="360"/>
          </w:tcPr>
          <w:p>
            <w:r>
              <w:rPr>
                <w:b w:val="0"/>
                <w:i w:val="0"/>
                <w:sz w:val="15"/>
              </w:rPr>
              <w:t>1</w:t>
            </w:r>
          </w:p>
        </w:tc>
        <w:tc>
          <w:tcPr>
            <w:tcW w:type="dxa" w:w="2189"/>
          </w:tcPr>
          <w:p>
            <w:r>
              <w:rPr>
                <w:b w:val="0"/>
                <w:i w:val="0"/>
                <w:sz w:val="15"/>
              </w:rPr>
              <w:t>CapitaLand Integ. Comm. Trust</w:t>
            </w:r>
          </w:p>
        </w:tc>
        <w:tc>
          <w:tcPr>
            <w:tcW w:type="dxa" w:w="662"/>
          </w:tcPr>
          <w:p>
            <w:pPr>
              <w:jc w:val="right"/>
            </w:pPr>
            <w:r>
              <w:rPr>
                <w:b w:val="0"/>
                <w:i w:val="0"/>
                <w:color w:val="52514E"/>
                <w:sz w:val="15"/>
              </w:rPr>
              <w:t>+0.0%</w:t>
            </w:r>
          </w:p>
        </w:tc>
        <w:tc>
          <w:tcPr>
            <w:tcW w:type="dxa" w:w="792"/>
          </w:tcPr>
          <w:p>
            <w:pPr>
              <w:jc w:val="right"/>
            </w:pPr>
            <w:r>
              <w:rPr>
                <w:b w:val="0"/>
                <w:i w:val="0"/>
                <w:color w:val="A12D2C"/>
                <w:sz w:val="15"/>
              </w:rPr>
              <w:t>-0.9%</w:t>
            </w:r>
          </w:p>
        </w:tc>
        <w:tc>
          <w:tcPr>
            <w:tcW w:type="dxa" w:w="1037"/>
            <w:shd w:val="clear" w:color="auto" w:fill="EFEEEA"/>
          </w:tcPr>
          <w:p>
            <w:r>
              <w:rPr>
                <w:b/>
                <w:i w:val="0"/>
                <w:color w:val="52514E"/>
                <w:sz w:val="15"/>
              </w:rPr>
              <w:t>Neutral</w:t>
            </w:r>
          </w:p>
        </w:tc>
        <w:tc>
          <w:tcPr>
            <w:tcW w:type="dxa" w:w="1382"/>
          </w:tcPr>
          <w:p>
            <w:r>
              <w:rPr>
                <w:b w:val="0"/>
                <w:i w:val="0"/>
                <w:sz w:val="15"/>
              </w:rPr>
              <w:t>Mostly positive (19)</w:t>
            </w:r>
          </w:p>
        </w:tc>
        <w:tc>
          <w:tcPr>
            <w:tcW w:type="dxa" w:w="1872"/>
          </w:tcPr>
          <w:p>
            <w:r>
              <w:rPr>
                <w:b w:val="0"/>
                <w:i w:val="0"/>
                <w:sz w:val="15"/>
              </w:rPr>
              <w:t>—</w:t>
            </w:r>
          </w:p>
        </w:tc>
        <w:tc>
          <w:tcPr>
            <w:tcW w:type="dxa" w:w="1642"/>
          </w:tcPr>
          <w:p>
            <w:r>
              <w:rPr>
                <w:b w:val="0"/>
                <w:i w:val="0"/>
                <w:sz w:val="15"/>
              </w:rPr>
              <w:t>No signal, little move</w:t>
            </w:r>
          </w:p>
        </w:tc>
      </w:tr>
      <w:tr>
        <w:tc>
          <w:tcPr>
            <w:tcW w:type="dxa" w:w="360"/>
            <w:shd w:val="clear" w:color="auto" w:fill="F7F7F5"/>
          </w:tcPr>
          <w:p>
            <w:r>
              <w:rPr>
                <w:b w:val="0"/>
                <w:i w:val="0"/>
                <w:sz w:val="15"/>
              </w:rPr>
              <w:t>2</w:t>
            </w:r>
          </w:p>
        </w:tc>
        <w:tc>
          <w:tcPr>
            <w:tcW w:type="dxa" w:w="2189"/>
            <w:shd w:val="clear" w:color="auto" w:fill="F7F7F5"/>
          </w:tcPr>
          <w:p>
            <w:r>
              <w:rPr>
                <w:b w:val="0"/>
                <w:i w:val="0"/>
                <w:sz w:val="15"/>
              </w:rPr>
              <w:t>ComfortDelGro</w:t>
            </w:r>
          </w:p>
        </w:tc>
        <w:tc>
          <w:tcPr>
            <w:tcW w:type="dxa" w:w="662"/>
            <w:shd w:val="clear" w:color="auto" w:fill="F7F7F5"/>
          </w:tcPr>
          <w:p>
            <w:pPr>
              <w:jc w:val="right"/>
            </w:pPr>
            <w:r>
              <w:rPr>
                <w:b w:val="0"/>
                <w:i w:val="0"/>
                <w:color w:val="A12D2C"/>
                <w:sz w:val="15"/>
              </w:rPr>
              <w:t>-0.8%</w:t>
            </w:r>
          </w:p>
        </w:tc>
        <w:tc>
          <w:tcPr>
            <w:tcW w:type="dxa" w:w="792"/>
            <w:shd w:val="clear" w:color="auto" w:fill="F7F7F5"/>
          </w:tcPr>
          <w:p>
            <w:pPr>
              <w:jc w:val="right"/>
            </w:pPr>
            <w:r>
              <w:rPr>
                <w:b w:val="0"/>
                <w:i w:val="0"/>
                <w:color w:val="1C5CAB"/>
                <w:sz w:val="15"/>
              </w:rPr>
              <w:t>+0.8%</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Mostly positive (18)</w:t>
            </w:r>
          </w:p>
        </w:tc>
        <w:tc>
          <w:tcPr>
            <w:tcW w:type="dxa" w:w="1872"/>
            <w:shd w:val="clear" w:color="auto" w:fill="F7F7F5"/>
          </w:tcPr>
          <w:p>
            <w:r>
              <w:rPr>
                <w:b w:val="0"/>
                <w:i w:val="0"/>
                <w:sz w:val="15"/>
              </w:rPr>
              <w:t>—</w:t>
            </w:r>
          </w:p>
        </w:tc>
        <w:tc>
          <w:tcPr>
            <w:tcW w:type="dxa" w:w="1642"/>
            <w:shd w:val="clear" w:color="auto" w:fill="F7F7F5"/>
          </w:tcPr>
          <w:p>
            <w:r>
              <w:rPr>
                <w:b w:val="0"/>
                <w:i w:val="0"/>
                <w:sz w:val="15"/>
              </w:rPr>
              <w:t>Moved without a signal</w:t>
            </w:r>
          </w:p>
        </w:tc>
      </w:tr>
      <w:tr>
        <w:tc>
          <w:tcPr>
            <w:tcW w:type="dxa" w:w="360"/>
          </w:tcPr>
          <w:p>
            <w:r>
              <w:rPr>
                <w:b w:val="0"/>
                <w:i w:val="0"/>
                <w:sz w:val="15"/>
              </w:rPr>
              <w:t>3</w:t>
            </w:r>
          </w:p>
        </w:tc>
        <w:tc>
          <w:tcPr>
            <w:tcW w:type="dxa" w:w="2189"/>
          </w:tcPr>
          <w:p>
            <w:r>
              <w:rPr>
                <w:b w:val="0"/>
                <w:i w:val="0"/>
                <w:sz w:val="15"/>
              </w:rPr>
              <w:t>Singtel</w:t>
            </w:r>
          </w:p>
        </w:tc>
        <w:tc>
          <w:tcPr>
            <w:tcW w:type="dxa" w:w="662"/>
          </w:tcPr>
          <w:p>
            <w:pPr>
              <w:jc w:val="right"/>
            </w:pPr>
            <w:r>
              <w:rPr>
                <w:b w:val="0"/>
                <w:i w:val="0"/>
                <w:color w:val="52514E"/>
                <w:sz w:val="15"/>
              </w:rPr>
              <w:t>+0.2%</w:t>
            </w:r>
          </w:p>
        </w:tc>
        <w:tc>
          <w:tcPr>
            <w:tcW w:type="dxa" w:w="792"/>
          </w:tcPr>
          <w:p>
            <w:pPr>
              <w:jc w:val="right"/>
            </w:pPr>
            <w:r>
              <w:rPr>
                <w:b w:val="0"/>
                <w:i w:val="0"/>
                <w:color w:val="52514E"/>
                <w:sz w:val="15"/>
              </w:rPr>
              <w:t>+0.2%</w:t>
            </w:r>
          </w:p>
        </w:tc>
        <w:tc>
          <w:tcPr>
            <w:tcW w:type="dxa" w:w="1037"/>
            <w:shd w:val="clear" w:color="auto" w:fill="EFEEEA"/>
          </w:tcPr>
          <w:p>
            <w:r>
              <w:rPr>
                <w:b/>
                <w:i w:val="0"/>
                <w:color w:val="52514E"/>
                <w:sz w:val="15"/>
              </w:rPr>
              <w:t>Neutral</w:t>
            </w:r>
          </w:p>
        </w:tc>
        <w:tc>
          <w:tcPr>
            <w:tcW w:type="dxa" w:w="1382"/>
          </w:tcPr>
          <w:p>
            <w:r>
              <w:rPr>
                <w:b w:val="0"/>
                <w:i w:val="0"/>
                <w:sz w:val="15"/>
              </w:rPr>
              <w:t>Mostly positive (29)</w:t>
            </w:r>
          </w:p>
        </w:tc>
        <w:tc>
          <w:tcPr>
            <w:tcW w:type="dxa" w:w="1872"/>
          </w:tcPr>
          <w:p>
            <w:r>
              <w:rPr>
                <w:b w:val="0"/>
                <w:i w:val="0"/>
                <w:sz w:val="15"/>
              </w:rPr>
              <w:t>Weekly down · Trend turned up</w:t>
            </w:r>
          </w:p>
        </w:tc>
        <w:tc>
          <w:tcPr>
            <w:tcW w:type="dxa" w:w="1642"/>
          </w:tcPr>
          <w:p>
            <w:r>
              <w:rPr>
                <w:b w:val="0"/>
                <w:i w:val="0"/>
                <w:sz w:val="15"/>
              </w:rPr>
              <w:t>No signal, little move</w:t>
            </w:r>
          </w:p>
        </w:tc>
      </w:tr>
      <w:tr>
        <w:tc>
          <w:tcPr>
            <w:tcW w:type="dxa" w:w="360"/>
            <w:shd w:val="clear" w:color="auto" w:fill="F7F7F5"/>
          </w:tcPr>
          <w:p>
            <w:r>
              <w:rPr>
                <w:b w:val="0"/>
                <w:i w:val="0"/>
                <w:sz w:val="15"/>
              </w:rPr>
              <w:t>4</w:t>
            </w:r>
          </w:p>
        </w:tc>
        <w:tc>
          <w:tcPr>
            <w:tcW w:type="dxa" w:w="2189"/>
            <w:shd w:val="clear" w:color="auto" w:fill="F7F7F5"/>
          </w:tcPr>
          <w:p>
            <w:r>
              <w:rPr>
                <w:b w:val="0"/>
                <w:i w:val="0"/>
                <w:sz w:val="15"/>
              </w:rPr>
              <w:t>Ascendas REIT ★</w:t>
            </w:r>
          </w:p>
        </w:tc>
        <w:tc>
          <w:tcPr>
            <w:tcW w:type="dxa" w:w="662"/>
            <w:shd w:val="clear" w:color="auto" w:fill="F7F7F5"/>
          </w:tcPr>
          <w:p>
            <w:pPr>
              <w:jc w:val="right"/>
            </w:pPr>
            <w:r>
              <w:rPr>
                <w:b w:val="0"/>
                <w:i w:val="0"/>
                <w:color w:val="1C5CAB"/>
                <w:sz w:val="15"/>
              </w:rPr>
              <w:t>+1.4%</w:t>
            </w:r>
          </w:p>
        </w:tc>
        <w:tc>
          <w:tcPr>
            <w:tcW w:type="dxa" w:w="792"/>
            <w:shd w:val="clear" w:color="auto" w:fill="F7F7F5"/>
          </w:tcPr>
          <w:p>
            <w:pPr>
              <w:jc w:val="right"/>
            </w:pPr>
            <w:r>
              <w:rPr>
                <w:b w:val="0"/>
                <w:i w:val="0"/>
                <w:color w:val="A12D2C"/>
                <w:sz w:val="15"/>
              </w:rPr>
              <w:t>-0.9%</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(23)</w:t>
            </w:r>
          </w:p>
        </w:tc>
        <w:tc>
          <w:tcPr>
            <w:tcW w:type="dxa" w:w="1872"/>
            <w:shd w:val="clear" w:color="auto" w:fill="F7F7F5"/>
          </w:tcPr>
          <w:p>
            <w:r>
              <w:rPr>
                <w:b w:val="0"/>
                <w:i w:val="0"/>
                <w:sz w:val="15"/>
              </w:rPr>
              <w:t>Weekly down</w:t>
            </w:r>
          </w:p>
        </w:tc>
        <w:tc>
          <w:tcPr>
            <w:tcW w:type="dxa" w:w="1642"/>
            <w:shd w:val="clear" w:color="auto" w:fill="F7F7F5"/>
          </w:tcPr>
          <w:p>
            <w:r>
              <w:rPr>
                <w:b w:val="0"/>
                <w:i w:val="0"/>
                <w:sz w:val="15"/>
              </w:rPr>
              <w:t>Moved without a signal</w:t>
            </w:r>
          </w:p>
        </w:tc>
      </w:tr>
      <w:tr>
        <w:tc>
          <w:tcPr>
            <w:tcW w:type="dxa" w:w="360"/>
          </w:tcPr>
          <w:p>
            <w:r>
              <w:rPr>
                <w:b w:val="0"/>
                <w:i w:val="0"/>
                <w:sz w:val="15"/>
              </w:rPr>
              <w:t>5</w:t>
            </w:r>
          </w:p>
        </w:tc>
        <w:tc>
          <w:tcPr>
            <w:tcW w:type="dxa" w:w="2189"/>
          </w:tcPr>
          <w:p>
            <w:r>
              <w:rPr>
                <w:b w:val="0"/>
                <w:i w:val="0"/>
                <w:sz w:val="15"/>
              </w:rPr>
              <w:t>SGX Group</w:t>
            </w:r>
          </w:p>
        </w:tc>
        <w:tc>
          <w:tcPr>
            <w:tcW w:type="dxa" w:w="662"/>
          </w:tcPr>
          <w:p>
            <w:pPr>
              <w:jc w:val="right"/>
            </w:pPr>
            <w:r>
              <w:rPr>
                <w:b w:val="0"/>
                <w:i w:val="0"/>
                <w:color w:val="A12D2C"/>
                <w:sz w:val="15"/>
              </w:rPr>
              <w:t>-0.5%</w:t>
            </w:r>
          </w:p>
        </w:tc>
        <w:tc>
          <w:tcPr>
            <w:tcW w:type="dxa" w:w="792"/>
          </w:tcPr>
          <w:p>
            <w:pPr>
              <w:jc w:val="right"/>
            </w:pPr>
            <w:r>
              <w:rPr>
                <w:b w:val="0"/>
                <w:i w:val="0"/>
                <w:color w:val="A12D2C"/>
                <w:sz w:val="15"/>
              </w:rPr>
              <w:t>-1.5%</w:t>
            </w:r>
          </w:p>
        </w:tc>
        <w:tc>
          <w:tcPr>
            <w:tcW w:type="dxa" w:w="1037"/>
            <w:shd w:val="clear" w:color="auto" w:fill="EFEEEA"/>
          </w:tcPr>
          <w:p>
            <w:r>
              <w:rPr>
                <w:b/>
                <w:i w:val="0"/>
                <w:color w:val="52514E"/>
                <w:sz w:val="15"/>
              </w:rPr>
              <w:t>Neutral</w:t>
            </w:r>
          </w:p>
        </w:tc>
        <w:tc>
          <w:tcPr>
            <w:tcW w:type="dxa" w:w="1382"/>
          </w:tcPr>
          <w:p>
            <w:r>
              <w:rPr>
                <w:b w:val="0"/>
                <w:i w:val="0"/>
                <w:sz w:val="15"/>
              </w:rPr>
              <w:t>Mostly positive (50)</w:t>
            </w:r>
          </w:p>
        </w:tc>
        <w:tc>
          <w:tcPr>
            <w:tcW w:type="dxa" w:w="1872"/>
          </w:tcPr>
          <w:p>
            <w:r>
              <w:rPr>
                <w:b w:val="0"/>
                <w:i w:val="0"/>
                <w:sz w:val="15"/>
              </w:rPr>
              <w:t>Weekly down</w:t>
            </w:r>
          </w:p>
        </w:tc>
        <w:tc>
          <w:tcPr>
            <w:tcW w:type="dxa" w:w="1642"/>
          </w:tcPr>
          <w:p>
            <w:r>
              <w:rPr>
                <w:b w:val="0"/>
                <w:i w:val="0"/>
                <w:sz w:val="15"/>
              </w:rPr>
              <w:t>No signal, little move</w:t>
            </w:r>
          </w:p>
        </w:tc>
      </w:tr>
      <w:tr>
        <w:tc>
          <w:tcPr>
            <w:tcW w:type="dxa" w:w="360"/>
            <w:shd w:val="clear" w:color="auto" w:fill="F7F7F5"/>
          </w:tcPr>
          <w:p>
            <w:r>
              <w:rPr>
                <w:b w:val="0"/>
                <w:i w:val="0"/>
                <w:sz w:val="15"/>
              </w:rPr>
              <w:t>6</w:t>
            </w:r>
          </w:p>
        </w:tc>
        <w:tc>
          <w:tcPr>
            <w:tcW w:type="dxa" w:w="2189"/>
            <w:shd w:val="clear" w:color="auto" w:fill="F7F7F5"/>
          </w:tcPr>
          <w:p>
            <w:r>
              <w:rPr>
                <w:b w:val="0"/>
                <w:i w:val="0"/>
                <w:sz w:val="15"/>
              </w:rPr>
              <w:t>Mapletree Industrial</w:t>
            </w:r>
          </w:p>
        </w:tc>
        <w:tc>
          <w:tcPr>
            <w:tcW w:type="dxa" w:w="662"/>
            <w:shd w:val="clear" w:color="auto" w:fill="F7F7F5"/>
          </w:tcPr>
          <w:p>
            <w:pPr>
              <w:jc w:val="right"/>
            </w:pPr>
            <w:r>
              <w:rPr>
                <w:b w:val="0"/>
                <w:i w:val="0"/>
                <w:color w:val="52514E"/>
                <w:sz w:val="15"/>
              </w:rPr>
              <w:t>+0.0%</w:t>
            </w:r>
          </w:p>
        </w:tc>
        <w:tc>
          <w:tcPr>
            <w:tcW w:type="dxa" w:w="792"/>
            <w:shd w:val="clear" w:color="auto" w:fill="F7F7F5"/>
          </w:tcPr>
          <w:p>
            <w:pPr>
              <w:jc w:val="right"/>
            </w:pPr>
            <w:r>
              <w:rPr>
                <w:b w:val="0"/>
                <w:i w:val="0"/>
                <w:color w:val="A12D2C"/>
                <w:sz w:val="15"/>
              </w:rPr>
              <w:t>-3.9%</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Mostly negative (31)</w:t>
            </w:r>
          </w:p>
        </w:tc>
        <w:tc>
          <w:tcPr>
            <w:tcW w:type="dxa" w:w="1872"/>
            <w:shd w:val="clear" w:color="auto" w:fill="F7F7F5"/>
          </w:tcPr>
          <w:p>
            <w:r>
              <w:rPr>
                <w:b w:val="0"/>
                <w:i w:val="0"/>
                <w:sz w:val="15"/>
              </w:rPr>
              <w:t>Oversold · Weekly down</w:t>
            </w:r>
          </w:p>
        </w:tc>
        <w:tc>
          <w:tcPr>
            <w:tcW w:type="dxa" w:w="1642"/>
            <w:shd w:val="clear" w:color="auto" w:fill="F7F7F5"/>
          </w:tcPr>
          <w:p>
            <w:r>
              <w:rPr>
                <w:b w:val="0"/>
                <w:i w:val="0"/>
                <w:sz w:val="15"/>
              </w:rPr>
              <w:t>No signal, little move</w:t>
            </w:r>
          </w:p>
        </w:tc>
      </w:tr>
      <w:tr>
        <w:tc>
          <w:tcPr>
            <w:tcW w:type="dxa" w:w="360"/>
          </w:tcPr>
          <w:p>
            <w:r>
              <w:rPr>
                <w:b w:val="0"/>
                <w:i w:val="0"/>
                <w:sz w:val="15"/>
              </w:rPr>
              <w:t>7</w:t>
            </w:r>
          </w:p>
        </w:tc>
        <w:tc>
          <w:tcPr>
            <w:tcW w:type="dxa" w:w="2189"/>
          </w:tcPr>
          <w:p>
            <w:r>
              <w:rPr>
                <w:b w:val="0"/>
                <w:i w:val="0"/>
                <w:sz w:val="15"/>
              </w:rPr>
              <w:t>UOB</w:t>
            </w:r>
          </w:p>
        </w:tc>
        <w:tc>
          <w:tcPr>
            <w:tcW w:type="dxa" w:w="662"/>
          </w:tcPr>
          <w:p>
            <w:pPr>
              <w:jc w:val="right"/>
            </w:pPr>
            <w:r>
              <w:rPr>
                <w:b w:val="0"/>
                <w:i w:val="0"/>
                <w:color w:val="A12D2C"/>
                <w:sz w:val="15"/>
              </w:rPr>
              <w:t>-0.3%</w:t>
            </w:r>
          </w:p>
        </w:tc>
        <w:tc>
          <w:tcPr>
            <w:tcW w:type="dxa" w:w="792"/>
          </w:tcPr>
          <w:p>
            <w:pPr>
              <w:jc w:val="right"/>
            </w:pPr>
            <w:r>
              <w:rPr>
                <w:b w:val="0"/>
                <w:i w:val="0"/>
                <w:color w:val="A12D2C"/>
                <w:sz w:val="15"/>
              </w:rPr>
              <w:t>-0.5%</w:t>
            </w:r>
          </w:p>
        </w:tc>
        <w:tc>
          <w:tcPr>
            <w:tcW w:type="dxa" w:w="1037"/>
            <w:shd w:val="clear" w:color="auto" w:fill="EFEEEA"/>
          </w:tcPr>
          <w:p>
            <w:r>
              <w:rPr>
                <w:b/>
                <w:i w:val="0"/>
                <w:color w:val="52514E"/>
                <w:sz w:val="15"/>
              </w:rPr>
              <w:t>Neutral</w:t>
            </w:r>
          </w:p>
        </w:tc>
        <w:tc>
          <w:tcPr>
            <w:tcW w:type="dxa" w:w="1382"/>
          </w:tcPr>
          <w:p>
            <w:r>
              <w:rPr>
                <w:b w:val="0"/>
                <w:i w:val="0"/>
                <w:sz w:val="15"/>
              </w:rPr>
              <w:t>Mixed (50)</w:t>
            </w:r>
          </w:p>
        </w:tc>
        <w:tc>
          <w:tcPr>
            <w:tcW w:type="dxa" w:w="1872"/>
          </w:tcPr>
          <w:p>
            <w:r>
              <w:rPr>
                <w:b w:val="0"/>
                <w:i w:val="0"/>
                <w:sz w:val="15"/>
              </w:rPr>
              <w:t>—</w:t>
            </w:r>
          </w:p>
        </w:tc>
        <w:tc>
          <w:tcPr>
            <w:tcW w:type="dxa" w:w="1642"/>
          </w:tcPr>
          <w:p>
            <w:r>
              <w:rPr>
                <w:b w:val="0"/>
                <w:i w:val="0"/>
                <w:sz w:val="15"/>
              </w:rPr>
              <w:t>No signal, little move</w:t>
            </w:r>
          </w:p>
        </w:tc>
      </w:tr>
      <w:tr>
        <w:tc>
          <w:tcPr>
            <w:tcW w:type="dxa" w:w="360"/>
            <w:shd w:val="clear" w:color="auto" w:fill="F7F7F5"/>
          </w:tcPr>
          <w:p>
            <w:r>
              <w:rPr>
                <w:b w:val="0"/>
                <w:i w:val="0"/>
                <w:sz w:val="15"/>
              </w:rPr>
              <w:t>8</w:t>
            </w:r>
          </w:p>
        </w:tc>
        <w:tc>
          <w:tcPr>
            <w:tcW w:type="dxa" w:w="2189"/>
            <w:shd w:val="clear" w:color="auto" w:fill="F7F7F5"/>
          </w:tcPr>
          <w:p>
            <w:r>
              <w:rPr>
                <w:b w:val="0"/>
                <w:i w:val="0"/>
                <w:sz w:val="15"/>
              </w:rPr>
              <w:t>ST Engineering</w:t>
            </w:r>
          </w:p>
        </w:tc>
        <w:tc>
          <w:tcPr>
            <w:tcW w:type="dxa" w:w="662"/>
            <w:shd w:val="clear" w:color="auto" w:fill="F7F7F5"/>
          </w:tcPr>
          <w:p>
            <w:pPr>
              <w:jc w:val="right"/>
            </w:pPr>
            <w:r>
              <w:rPr>
                <w:b w:val="0"/>
                <w:i w:val="0"/>
                <w:color w:val="52514E"/>
                <w:sz w:val="15"/>
              </w:rPr>
              <w:t>+0.1%</w:t>
            </w:r>
          </w:p>
        </w:tc>
        <w:tc>
          <w:tcPr>
            <w:tcW w:type="dxa" w:w="792"/>
            <w:shd w:val="clear" w:color="auto" w:fill="F7F7F5"/>
          </w:tcPr>
          <w:p>
            <w:pPr>
              <w:jc w:val="right"/>
            </w:pPr>
            <w:r>
              <w:rPr>
                <w:b w:val="0"/>
                <w:i w:val="0"/>
                <w:color w:val="A12D2C"/>
                <w:sz w:val="15"/>
              </w:rPr>
              <w:t>-0.5%</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(22)</w:t>
            </w:r>
          </w:p>
        </w:tc>
        <w:tc>
          <w:tcPr>
            <w:tcW w:type="dxa" w:w="1872"/>
            <w:shd w:val="clear" w:color="auto" w:fill="F7F7F5"/>
          </w:tcPr>
          <w:p>
            <w:r>
              <w:rPr>
                <w:b w:val="0"/>
                <w:i w:val="0"/>
                <w:sz w:val="15"/>
              </w:rPr>
              <w:t>—</w:t>
            </w:r>
          </w:p>
        </w:tc>
        <w:tc>
          <w:tcPr>
            <w:tcW w:type="dxa" w:w="1642"/>
            <w:shd w:val="clear" w:color="auto" w:fill="F7F7F5"/>
          </w:tcPr>
          <w:p>
            <w:r>
              <w:rPr>
                <w:b w:val="0"/>
                <w:i w:val="0"/>
                <w:sz w:val="15"/>
              </w:rPr>
              <w:t>No signal, little move</w:t>
            </w:r>
          </w:p>
        </w:tc>
      </w:tr>
      <w:tr>
        <w:tc>
          <w:tcPr>
            <w:tcW w:type="dxa" w:w="360"/>
          </w:tcPr>
          <w:p>
            <w:r>
              <w:rPr>
                <w:b w:val="0"/>
                <w:i w:val="0"/>
                <w:sz w:val="15"/>
              </w:rPr>
              <w:t>9</w:t>
            </w:r>
          </w:p>
        </w:tc>
        <w:tc>
          <w:tcPr>
            <w:tcW w:type="dxa" w:w="2189"/>
          </w:tcPr>
          <w:p>
            <w:r>
              <w:rPr>
                <w:b w:val="0"/>
                <w:i w:val="0"/>
                <w:sz w:val="15"/>
              </w:rPr>
              <w:t>Wilmar Intl</w:t>
            </w:r>
          </w:p>
        </w:tc>
        <w:tc>
          <w:tcPr>
            <w:tcW w:type="dxa" w:w="662"/>
          </w:tcPr>
          <w:p>
            <w:pPr>
              <w:jc w:val="right"/>
            </w:pPr>
            <w:r>
              <w:rPr>
                <w:b w:val="0"/>
                <w:i w:val="0"/>
                <w:color w:val="A12D2C"/>
                <w:sz w:val="15"/>
              </w:rPr>
              <w:t>-3.2%</w:t>
            </w:r>
          </w:p>
        </w:tc>
        <w:tc>
          <w:tcPr>
            <w:tcW w:type="dxa" w:w="792"/>
          </w:tcPr>
          <w:p>
            <w:pPr>
              <w:jc w:val="right"/>
            </w:pPr>
            <w:r>
              <w:rPr>
                <w:b w:val="0"/>
                <w:i w:val="0"/>
                <w:color w:val="A12D2C"/>
                <w:sz w:val="15"/>
              </w:rPr>
              <w:t>-9.9%</w:t>
            </w:r>
          </w:p>
        </w:tc>
        <w:tc>
          <w:tcPr>
            <w:tcW w:type="dxa" w:w="1037"/>
            <w:shd w:val="clear" w:color="auto" w:fill="EFEEEA"/>
          </w:tcPr>
          <w:p>
            <w:r>
              <w:rPr>
                <w:b/>
                <w:i w:val="0"/>
                <w:color w:val="52514E"/>
                <w:sz w:val="15"/>
              </w:rPr>
              <w:t>Neutral</w:t>
            </w:r>
          </w:p>
        </w:tc>
        <w:tc>
          <w:tcPr>
            <w:tcW w:type="dxa" w:w="1382"/>
          </w:tcPr>
          <w:p>
            <w:r>
              <w:rPr>
                <w:b w:val="0"/>
                <w:i w:val="0"/>
                <w:sz w:val="15"/>
              </w:rPr>
              <w:t>Mostly negative (16)</w:t>
            </w:r>
          </w:p>
        </w:tc>
        <w:tc>
          <w:tcPr>
            <w:tcW w:type="dxa" w:w="1872"/>
          </w:tcPr>
          <w:p>
            <w:r>
              <w:rPr>
                <w:b w:val="0"/>
                <w:i w:val="0"/>
                <w:sz w:val="15"/>
              </w:rPr>
              <w:t>Oversold · Weekly down · Below range</w:t>
            </w:r>
          </w:p>
        </w:tc>
        <w:tc>
          <w:tcPr>
            <w:tcW w:type="dxa" w:w="1642"/>
          </w:tcPr>
          <w:p>
            <w:r>
              <w:rPr>
                <w:b w:val="0"/>
                <w:i w:val="0"/>
                <w:sz w:val="15"/>
              </w:rPr>
              <w:t>Moved without a signal</w:t>
            </w:r>
          </w:p>
        </w:tc>
      </w:tr>
      <w:tr>
        <w:tc>
          <w:tcPr>
            <w:tcW w:type="dxa" w:w="360"/>
            <w:shd w:val="clear" w:color="auto" w:fill="F7F7F5"/>
          </w:tcPr>
          <w:p>
            <w:r>
              <w:rPr>
                <w:b w:val="0"/>
                <w:i w:val="0"/>
                <w:sz w:val="15"/>
              </w:rPr>
              <w:t>10</w:t>
            </w:r>
          </w:p>
        </w:tc>
        <w:tc>
          <w:tcPr>
            <w:tcW w:type="dxa" w:w="2189"/>
            <w:shd w:val="clear" w:color="auto" w:fill="F7F7F5"/>
          </w:tcPr>
          <w:p>
            <w:r>
              <w:rPr>
                <w:b w:val="0"/>
                <w:i w:val="0"/>
                <w:sz w:val="15"/>
              </w:rPr>
              <w:t>Mapletree Pan Asia Comm. Trust</w:t>
            </w:r>
          </w:p>
        </w:tc>
        <w:tc>
          <w:tcPr>
            <w:tcW w:type="dxa" w:w="662"/>
            <w:shd w:val="clear" w:color="auto" w:fill="F7F7F5"/>
          </w:tcPr>
          <w:p>
            <w:pPr>
              <w:jc w:val="right"/>
            </w:pPr>
            <w:r>
              <w:rPr>
                <w:b w:val="0"/>
                <w:i w:val="0"/>
                <w:color w:val="1C5CAB"/>
                <w:sz w:val="15"/>
              </w:rPr>
              <w:t>+1.8%</w:t>
            </w:r>
          </w:p>
        </w:tc>
        <w:tc>
          <w:tcPr>
            <w:tcW w:type="dxa" w:w="792"/>
            <w:shd w:val="clear" w:color="auto" w:fill="F7F7F5"/>
          </w:tcPr>
          <w:p>
            <w:pPr>
              <w:jc w:val="right"/>
            </w:pPr>
            <w:r>
              <w:rPr>
                <w:b w:val="0"/>
                <w:i w:val="0"/>
                <w:color w:val="A12D2C"/>
                <w:sz w:val="15"/>
              </w:rPr>
              <w:t>-1.7%</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Mostly neutral (11)</w:t>
            </w:r>
          </w:p>
        </w:tc>
        <w:tc>
          <w:tcPr>
            <w:tcW w:type="dxa" w:w="1872"/>
            <w:shd w:val="clear" w:color="auto" w:fill="F7F7F5"/>
          </w:tcPr>
          <w:p>
            <w:r>
              <w:rPr>
                <w:b w:val="0"/>
                <w:i w:val="0"/>
                <w:sz w:val="15"/>
              </w:rPr>
              <w:t>Weekly down · Trend turned up</w:t>
            </w:r>
          </w:p>
        </w:tc>
        <w:tc>
          <w:tcPr>
            <w:tcW w:type="dxa" w:w="1642"/>
            <w:shd w:val="clear" w:color="auto" w:fill="F7F7F5"/>
          </w:tcPr>
          <w:p>
            <w:r>
              <w:rPr>
                <w:b w:val="0"/>
                <w:i w:val="0"/>
                <w:sz w:val="15"/>
              </w:rPr>
              <w:t>Moved without a signal</w:t>
            </w:r>
          </w:p>
        </w:tc>
      </w:tr>
      <w:tr>
        <w:tc>
          <w:tcPr>
            <w:tcW w:type="dxa" w:w="360"/>
          </w:tcPr>
          <w:p>
            <w:r>
              <w:rPr>
                <w:b w:val="0"/>
                <w:i w:val="0"/>
                <w:sz w:val="15"/>
              </w:rPr>
              <w:t>11</w:t>
            </w:r>
          </w:p>
        </w:tc>
        <w:tc>
          <w:tcPr>
            <w:tcW w:type="dxa" w:w="2189"/>
          </w:tcPr>
          <w:p>
            <w:r>
              <w:rPr>
                <w:b w:val="0"/>
                <w:i w:val="0"/>
                <w:sz w:val="15"/>
              </w:rPr>
              <w:t>DBS Group ★</w:t>
            </w:r>
          </w:p>
        </w:tc>
        <w:tc>
          <w:tcPr>
            <w:tcW w:type="dxa" w:w="662"/>
          </w:tcPr>
          <w:p>
            <w:pPr>
              <w:jc w:val="right"/>
            </w:pPr>
            <w:r>
              <w:rPr>
                <w:b w:val="0"/>
                <w:i w:val="0"/>
                <w:color w:val="A12D2C"/>
                <w:sz w:val="15"/>
              </w:rPr>
              <w:t>-0.9%</w:t>
            </w:r>
          </w:p>
        </w:tc>
        <w:tc>
          <w:tcPr>
            <w:tcW w:type="dxa" w:w="792"/>
          </w:tcPr>
          <w:p>
            <w:pPr>
              <w:jc w:val="right"/>
            </w:pPr>
            <w:r>
              <w:rPr>
                <w:b w:val="0"/>
                <w:i w:val="0"/>
                <w:color w:val="A12D2C"/>
                <w:sz w:val="15"/>
              </w:rPr>
              <w:t>-1.8%</w:t>
            </w:r>
          </w:p>
        </w:tc>
        <w:tc>
          <w:tcPr>
            <w:tcW w:type="dxa" w:w="1037"/>
            <w:shd w:val="clear" w:color="auto" w:fill="EFEEEA"/>
          </w:tcPr>
          <w:p>
            <w:r>
              <w:rPr>
                <w:b/>
                <w:i w:val="0"/>
                <w:color w:val="52514E"/>
                <w:sz w:val="15"/>
              </w:rPr>
              <w:t>Neutral</w:t>
            </w:r>
          </w:p>
        </w:tc>
        <w:tc>
          <w:tcPr>
            <w:tcW w:type="dxa" w:w="1382"/>
          </w:tcPr>
          <w:p>
            <w:r>
              <w:rPr>
                <w:b w:val="0"/>
                <w:i w:val="0"/>
                <w:sz w:val="15"/>
              </w:rPr>
              <w:t>Mixed (50)</w:t>
            </w:r>
          </w:p>
        </w:tc>
        <w:tc>
          <w:tcPr>
            <w:tcW w:type="dxa" w:w="1872"/>
          </w:tcPr>
          <w:p>
            <w:r>
              <w:rPr>
                <w:b w:val="0"/>
                <w:i w:val="0"/>
                <w:sz w:val="15"/>
              </w:rPr>
              <w:t>—</w:t>
            </w:r>
          </w:p>
        </w:tc>
        <w:tc>
          <w:tcPr>
            <w:tcW w:type="dxa" w:w="1642"/>
          </w:tcPr>
          <w:p>
            <w:r>
              <w:rPr>
                <w:b w:val="0"/>
                <w:i w:val="0"/>
                <w:sz w:val="15"/>
              </w:rPr>
              <w:t>Moved without a signal</w:t>
            </w:r>
          </w:p>
        </w:tc>
      </w:tr>
      <w:tr>
        <w:tc>
          <w:tcPr>
            <w:tcW w:type="dxa" w:w="360"/>
            <w:shd w:val="clear" w:color="auto" w:fill="F7F7F5"/>
          </w:tcPr>
          <w:p>
            <w:r>
              <w:rPr>
                <w:b w:val="0"/>
                <w:i w:val="0"/>
                <w:sz w:val="15"/>
              </w:rPr>
              <w:t>12</w:t>
            </w:r>
          </w:p>
        </w:tc>
        <w:tc>
          <w:tcPr>
            <w:tcW w:type="dxa" w:w="2189"/>
            <w:shd w:val="clear" w:color="auto" w:fill="F7F7F5"/>
          </w:tcPr>
          <w:p>
            <w:r>
              <w:rPr>
                <w:b w:val="0"/>
                <w:i w:val="0"/>
                <w:sz w:val="15"/>
              </w:rPr>
              <w:t>OCBC Bank ★</w:t>
            </w:r>
          </w:p>
        </w:tc>
        <w:tc>
          <w:tcPr>
            <w:tcW w:type="dxa" w:w="662"/>
            <w:shd w:val="clear" w:color="auto" w:fill="F7F7F5"/>
          </w:tcPr>
          <w:p>
            <w:pPr>
              <w:jc w:val="right"/>
            </w:pPr>
            <w:r>
              <w:rPr>
                <w:b w:val="0"/>
                <w:i w:val="0"/>
                <w:color w:val="52514E"/>
                <w:sz w:val="15"/>
              </w:rPr>
              <w:t>-0.2%</w:t>
            </w:r>
          </w:p>
        </w:tc>
        <w:tc>
          <w:tcPr>
            <w:tcW w:type="dxa" w:w="792"/>
            <w:shd w:val="clear" w:color="auto" w:fill="F7F7F5"/>
          </w:tcPr>
          <w:p>
            <w:pPr>
              <w:jc w:val="right"/>
            </w:pPr>
            <w:r>
              <w:rPr>
                <w:b w:val="0"/>
                <w:i w:val="0"/>
                <w:color w:val="1C5CAB"/>
                <w:sz w:val="15"/>
              </w:rPr>
              <w:t>+1.0%</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(50)</w:t>
            </w:r>
          </w:p>
        </w:tc>
        <w:tc>
          <w:tcPr>
            <w:tcW w:type="dxa" w:w="1872"/>
            <w:shd w:val="clear" w:color="auto" w:fill="F7F7F5"/>
          </w:tcPr>
          <w:p>
            <w:r>
              <w:rPr>
                <w:b w:val="0"/>
                <w:i w:val="0"/>
                <w:sz w:val="15"/>
              </w:rPr>
              <w:t>—</w:t>
            </w:r>
          </w:p>
        </w:tc>
        <w:tc>
          <w:tcPr>
            <w:tcW w:type="dxa" w:w="1642"/>
            <w:shd w:val="clear" w:color="auto" w:fill="F7F7F5"/>
          </w:tcPr>
          <w:p>
            <w:r>
              <w:rPr>
                <w:b w:val="0"/>
                <w:i w:val="0"/>
                <w:sz w:val="15"/>
              </w:rPr>
              <w:t>No signal, little move</w:t>
            </w:r>
          </w:p>
        </w:tc>
      </w:tr>
      <w:tr>
        <w:tc>
          <w:tcPr>
            <w:tcW w:type="dxa" w:w="360"/>
          </w:tcPr>
          <w:p>
            <w:r>
              <w:rPr>
                <w:b w:val="0"/>
                <w:i w:val="0"/>
                <w:sz w:val="15"/>
              </w:rPr>
              <w:t>13</w:t>
            </w:r>
          </w:p>
        </w:tc>
        <w:tc>
          <w:tcPr>
            <w:tcW w:type="dxa" w:w="2189"/>
          </w:tcPr>
          <w:p>
            <w:r>
              <w:rPr>
                <w:b w:val="0"/>
                <w:i w:val="0"/>
                <w:sz w:val="15"/>
              </w:rPr>
              <w:t>Raffles Medical Group</w:t>
            </w:r>
          </w:p>
        </w:tc>
        <w:tc>
          <w:tcPr>
            <w:tcW w:type="dxa" w:w="662"/>
          </w:tcPr>
          <w:p>
            <w:pPr>
              <w:jc w:val="right"/>
            </w:pPr>
            <w:r>
              <w:rPr>
                <w:b w:val="0"/>
                <w:i w:val="0"/>
                <w:color w:val="1C5CAB"/>
                <w:sz w:val="15"/>
              </w:rPr>
              <w:t>+0.6%</w:t>
            </w:r>
          </w:p>
        </w:tc>
        <w:tc>
          <w:tcPr>
            <w:tcW w:type="dxa" w:w="792"/>
          </w:tcPr>
          <w:p>
            <w:pPr>
              <w:jc w:val="right"/>
            </w:pPr>
            <w:r>
              <w:rPr>
                <w:b w:val="0"/>
                <w:i w:val="0"/>
                <w:color w:val="1C5CAB"/>
                <w:sz w:val="15"/>
              </w:rPr>
              <w:t>+0.6%</w:t>
            </w:r>
          </w:p>
        </w:tc>
        <w:tc>
          <w:tcPr>
            <w:tcW w:type="dxa" w:w="1037"/>
            <w:shd w:val="clear" w:color="auto" w:fill="EFEEEA"/>
          </w:tcPr>
          <w:p>
            <w:r>
              <w:rPr>
                <w:b/>
                <w:i w:val="0"/>
                <w:color w:val="52514E"/>
                <w:sz w:val="15"/>
              </w:rPr>
              <w:t>Neutral</w:t>
            </w:r>
          </w:p>
        </w:tc>
        <w:tc>
          <w:tcPr>
            <w:tcW w:type="dxa" w:w="1382"/>
          </w:tcPr>
          <w:p>
            <w:r>
              <w:rPr>
                <w:b w:val="0"/>
                <w:i w:val="0"/>
                <w:sz w:val="15"/>
              </w:rPr>
              <w:t>Mostly neutral (18)</w:t>
            </w:r>
          </w:p>
        </w:tc>
        <w:tc>
          <w:tcPr>
            <w:tcW w:type="dxa" w:w="1872"/>
          </w:tcPr>
          <w:p>
            <w:r>
              <w:rPr>
                <w:b w:val="0"/>
                <w:i w:val="0"/>
                <w:sz w:val="15"/>
              </w:rPr>
              <w:t>Weekly down</w:t>
            </w:r>
          </w:p>
        </w:tc>
        <w:tc>
          <w:tcPr>
            <w:tcW w:type="dxa" w:w="1642"/>
          </w:tcPr>
          <w:p>
            <w:r>
              <w:rPr>
                <w:b w:val="0"/>
                <w:i w:val="0"/>
                <w:sz w:val="15"/>
              </w:rPr>
              <w:t>Moved without a signal</w:t>
            </w:r>
          </w:p>
        </w:tc>
      </w:tr>
      <w:tr>
        <w:tc>
          <w:tcPr>
            <w:tcW w:type="dxa" w:w="360"/>
            <w:shd w:val="clear" w:color="auto" w:fill="F7F7F5"/>
          </w:tcPr>
          <w:p>
            <w:r>
              <w:rPr>
                <w:b w:val="0"/>
                <w:i w:val="0"/>
                <w:sz w:val="15"/>
              </w:rPr>
              <w:t>14</w:t>
            </w:r>
          </w:p>
        </w:tc>
        <w:tc>
          <w:tcPr>
            <w:tcW w:type="dxa" w:w="2189"/>
            <w:shd w:val="clear" w:color="auto" w:fill="F7F7F5"/>
          </w:tcPr>
          <w:p>
            <w:r>
              <w:rPr>
                <w:b w:val="0"/>
                <w:i w:val="0"/>
                <w:sz w:val="15"/>
              </w:rPr>
              <w:t>Keppel Corp</w:t>
            </w:r>
          </w:p>
        </w:tc>
        <w:tc>
          <w:tcPr>
            <w:tcW w:type="dxa" w:w="662"/>
            <w:shd w:val="clear" w:color="auto" w:fill="F7F7F5"/>
          </w:tcPr>
          <w:p>
            <w:pPr>
              <w:jc w:val="right"/>
            </w:pPr>
            <w:r>
              <w:rPr>
                <w:b w:val="0"/>
                <w:i w:val="0"/>
                <w:color w:val="A12D2C"/>
                <w:sz w:val="15"/>
              </w:rPr>
              <w:t>-1.5%</w:t>
            </w:r>
          </w:p>
        </w:tc>
        <w:tc>
          <w:tcPr>
            <w:tcW w:type="dxa" w:w="792"/>
            <w:shd w:val="clear" w:color="auto" w:fill="F7F7F5"/>
          </w:tcPr>
          <w:p>
            <w:pPr>
              <w:jc w:val="right"/>
            </w:pPr>
            <w:r>
              <w:rPr>
                <w:b w:val="0"/>
                <w:i w:val="0"/>
                <w:color w:val="1C5CAB"/>
                <w:sz w:val="15"/>
              </w:rPr>
              <w:t>+0.9%</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(17)</w:t>
            </w:r>
          </w:p>
        </w:tc>
        <w:tc>
          <w:tcPr>
            <w:tcW w:type="dxa" w:w="1872"/>
            <w:shd w:val="clear" w:color="auto" w:fill="F7F7F5"/>
          </w:tcPr>
          <w:p>
            <w:r>
              <w:rPr>
                <w:b w:val="0"/>
                <w:i w:val="0"/>
                <w:sz w:val="15"/>
              </w:rPr>
              <w:t>Weekly down</w:t>
            </w:r>
          </w:p>
        </w:tc>
        <w:tc>
          <w:tcPr>
            <w:tcW w:type="dxa" w:w="1642"/>
            <w:shd w:val="clear" w:color="auto" w:fill="F7F7F5"/>
          </w:tcPr>
          <w:p>
            <w:r>
              <w:rPr>
                <w:b w:val="0"/>
                <w:i w:val="0"/>
                <w:sz w:val="15"/>
              </w:rPr>
              <w:t>Moved without a signal</w:t>
            </w:r>
          </w:p>
        </w:tc>
      </w:tr>
      <w:tr>
        <w:tc>
          <w:tcPr>
            <w:tcW w:type="dxa" w:w="360"/>
          </w:tcPr>
          <w:p>
            <w:r>
              <w:rPr>
                <w:b w:val="0"/>
                <w:i w:val="0"/>
                <w:sz w:val="15"/>
              </w:rPr>
              <w:t>15</w:t>
            </w:r>
          </w:p>
        </w:tc>
        <w:tc>
          <w:tcPr>
            <w:tcW w:type="dxa" w:w="2189"/>
          </w:tcPr>
          <w:p>
            <w:r>
              <w:rPr>
                <w:b w:val="0"/>
                <w:i w:val="0"/>
                <w:sz w:val="15"/>
              </w:rPr>
              <w:t>Sembcorp Industries</w:t>
            </w:r>
          </w:p>
        </w:tc>
        <w:tc>
          <w:tcPr>
            <w:tcW w:type="dxa" w:w="662"/>
          </w:tcPr>
          <w:p>
            <w:pPr>
              <w:jc w:val="right"/>
            </w:pPr>
            <w:r>
              <w:rPr>
                <w:b w:val="0"/>
                <w:i w:val="0"/>
                <w:color w:val="1C5CAB"/>
                <w:sz w:val="15"/>
              </w:rPr>
              <w:t>+0.5%</w:t>
            </w:r>
          </w:p>
        </w:tc>
        <w:tc>
          <w:tcPr>
            <w:tcW w:type="dxa" w:w="792"/>
          </w:tcPr>
          <w:p>
            <w:pPr>
              <w:jc w:val="right"/>
            </w:pPr>
            <w:r>
              <w:rPr>
                <w:b w:val="0"/>
                <w:i w:val="0"/>
                <w:color w:val="A12D2C"/>
                <w:sz w:val="15"/>
              </w:rPr>
              <w:t>-2.7%</w:t>
            </w:r>
          </w:p>
        </w:tc>
        <w:tc>
          <w:tcPr>
            <w:tcW w:type="dxa" w:w="1037"/>
            <w:shd w:val="clear" w:color="auto" w:fill="EFEEEA"/>
          </w:tcPr>
          <w:p>
            <w:r>
              <w:rPr>
                <w:b/>
                <w:i w:val="0"/>
                <w:color w:val="52514E"/>
                <w:sz w:val="15"/>
              </w:rPr>
              <w:t>Neutral</w:t>
            </w:r>
          </w:p>
        </w:tc>
        <w:tc>
          <w:tcPr>
            <w:tcW w:type="dxa" w:w="1382"/>
          </w:tcPr>
          <w:p>
            <w:r>
              <w:rPr>
                <w:b w:val="0"/>
                <w:i w:val="0"/>
                <w:sz w:val="15"/>
              </w:rPr>
              <w:t>Mostly negative (26)</w:t>
            </w:r>
          </w:p>
        </w:tc>
        <w:tc>
          <w:tcPr>
            <w:tcW w:type="dxa" w:w="1872"/>
          </w:tcPr>
          <w:p>
            <w:r>
              <w:rPr>
                <w:b w:val="0"/>
                <w:i w:val="0"/>
                <w:sz w:val="15"/>
              </w:rPr>
              <w:t>Above avg price</w:t>
            </w:r>
          </w:p>
        </w:tc>
        <w:tc>
          <w:tcPr>
            <w:tcW w:type="dxa" w:w="1642"/>
          </w:tcPr>
          <w:p>
            <w:r>
              <w:rPr>
                <w:b w:val="0"/>
                <w:i w:val="0"/>
                <w:sz w:val="15"/>
              </w:rPr>
              <w:t>No signal, little move</w:t>
            </w:r>
          </w:p>
        </w:tc>
      </w:tr>
    </w:tbl>
    <w:p>
      <w:pPr>
        <w:spacing w:after="40"/>
      </w:pPr>
      <w:r>
        <w:rPr>
          <w:b w:val="0"/>
          <w:i w:val="0"/>
          <w:color w:val="52514E"/>
          <w:sz w:val="14"/>
        </w:rPr>
        <w:t>The ranking describes today: in our tests it did not predict which stocks did better the next day, so it is not a list of stocks to pick. News today: the tone and number of company articles collected today. Price chart: chart signals that fired. Price vs news: whether today's price moved with the reading (a move within ±0.6%, a normal day, counts as no reaction). ★ more company-event news than usual (earnings, dividends, upgrades). ⚑ worth a closer look (none today; meaning in the glossary).</w:t>
      </w:r>
    </w:p>
    <w:p>
      <w:pPr>
        <w:keepNext/>
        <w:pageBreakBefore/>
        <w:spacing w:before="0" w:after="40"/>
        <w:pBdr>
          <w:bottom w:val="single" w:sz="6" w:space="2" w:color="CDE2FB"/>
        </w:pBdr>
      </w:pPr>
      <w:r>
        <w:rPr>
          <w:b/>
          <w:i w:val="0"/>
          <w:color w:val="1A2E55"/>
          <w:sz w:val="26"/>
        </w:rPr>
        <w:t>2 · The last 5 trading days and what may explain them</w:t>
      </w:r>
    </w:p>
    <w:p>
      <w:pPr>
        <w:keepNext/>
      </w:pPr>
      <w:r>
        <w:rPr>
          <w:b w:val="0"/>
          <w:i w:val="0"/>
          <w:color w:val="52514E"/>
          <w:sz w:val="17"/>
        </w:rPr>
        <w:t>Each square is one day's news-and-signals reading for a stock; the bar is its price change over 26–30 Oct. Stocks are grouped by sector, best sector first.</w:t>
      </w:r>
    </w:p>
    <w:p>
      <w:pPr>
        <w:spacing w:after="40"/>
      </w:pPr>
      <w:r>
        <w:drawing>
          <wp:inline xmlns:a="http://schemas.openxmlformats.org/drawingml/2006/main" xmlns:pic="http://schemas.openxmlformats.org/drawingml/2006/picture">
            <wp:extent cx="6309360" cy="3650415"/>
            <wp:docPr id="1" name="Picture 1"/>
            <wp:cNvGraphicFramePr>
              <a:graphicFrameLocks noChangeAspect="1"/>
            </wp:cNvGraphicFramePr>
            <a:graphic>
              <a:graphicData uri="http://schemas.openxmlformats.org/drawingml/2006/picture">
                <pic:pic>
                  <pic:nvPicPr>
                    <pic:cNvPr id="0" name="week_2026-10-30.png"/>
                    <pic:cNvPicPr/>
                  </pic:nvPicPr>
                  <pic:blipFill>
                    <a:blip r:embed="rId10"/>
                    <a:stretch>
                      <a:fillRect/>
                    </a:stretch>
                  </pic:blipFill>
                  <pic:spPr>
                    <a:xfrm>
                      <a:off x="0" y="0"/>
                      <a:ext cx="6309360" cy="3650415"/>
                    </a:xfrm>
                    <a:prstGeom prst="rect"/>
                  </pic:spPr>
                </pic:pic>
              </a:graphicData>
            </a:graphic>
          </wp:inline>
        </w:drawing>
      </w:r>
    </w:p>
    <w:p>
      <w:pPr>
        <w:keepNext/>
        <w:spacing w:before="120" w:after="20"/>
      </w:pPr>
      <w:r>
        <w:rPr>
          <w:b/>
          <w:i w:val="0"/>
          <w:color w:val="1A2E55"/>
          <w:sz w:val="21"/>
        </w:rPr>
        <w:t>The biggest movers</w:t>
      </w:r>
    </w:p>
    <w:p>
      <w:pPr>
        <w:spacing w:after="40"/>
      </w:pPr>
      <w:r>
        <w:rPr>
          <w:b w:val="0"/>
          <w:i w:val="0"/>
          <w:color w:val="52514E"/>
          <w:sz w:val="15"/>
        </w:rPr>
        <w:t>No stock had a positive or negative news-and-signals reading today, so the cards show the biggest movers.</w:t>
      </w:r>
    </w:p>
    <w:p>
      <w:pPr>
        <w:spacing w:after="40"/>
      </w:pPr>
      <w:r>
        <w:rPr>
          <w:b w:val="0"/>
          <w:i w:val="0"/>
          <w:color w:val="52514E"/>
          <w:sz w:val="14"/>
        </w:rPr>
        <w:t>The AI summaries mention a 'geopolitical backdrop' and 'political news volume': those two rules fire every day and cancel out, so they carry no information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Wilmar International</w:t>
            </w:r>
            <w:r>
              <w:rPr>
                <w:b w:val="0"/>
                <w:i w:val="0"/>
                <w:color w:val="52514E"/>
                <w:sz w:val="17"/>
              </w:rPr>
              <w:t xml:space="preserve">   Consumer Goods  ·  -9.9% over 26–30 Oct</w:t>
            </w:r>
          </w:p>
          <w:p>
            <w:pPr>
              <w:spacing w:after="10" w:line="240" w:lineRule="auto"/>
            </w:pPr>
            <w:r>
              <w:rPr>
                <w:b/>
                <w:i w:val="0"/>
                <w:color w:val="1A2E55"/>
                <w:sz w:val="16"/>
              </w:rPr>
              <w:t xml:space="preserve">In short (AI-written, checked)  </w:t>
            </w:r>
            <w:r>
              <w:rPr>
                <w:b w:val="0"/>
                <w:i w:val="0"/>
                <w:sz w:val="16"/>
              </w:rPr>
              <w:t>Wilmar International fell 9.9% over 26–30 Oct. The news today was mostly negative but did not provide a clear signal, so the price move is not explained by news. The forecast model expects no big move, but its record is only a weak signal.</w:t>
            </w:r>
          </w:p>
          <w:p>
            <w:pPr>
              <w:spacing w:after="10" w:line="240" w:lineRule="auto"/>
            </w:pPr>
            <w:r>
              <w:rPr>
                <w:b/>
                <w:i w:val="0"/>
                <w:color w:val="1A2E55"/>
                <w:sz w:val="16"/>
              </w:rPr>
              <w:t xml:space="preserve">What happened  </w:t>
            </w:r>
            <w:r>
              <w:rPr>
                <w:b w:val="0"/>
                <w:i w:val="0"/>
                <w:sz w:val="16"/>
              </w:rPr>
              <w:t>Fell 9.9% over 26–30 Oct; its biggest day was Thu 29 Oct (-4.9%). Today -3.2%.</w:t>
            </w:r>
          </w:p>
          <w:p>
            <w:pPr>
              <w:spacing w:after="10" w:line="240" w:lineRule="auto"/>
            </w:pPr>
            <w:r>
              <w:rPr>
                <w:b/>
                <w:i w:val="0"/>
                <w:color w:val="1A2E55"/>
                <w:sz w:val="16"/>
              </w:rPr>
              <w:t xml:space="preserve">Today: news vs price  </w:t>
            </w:r>
            <w:r>
              <w:rPr>
                <w:b w:val="0"/>
                <w:i w:val="0"/>
                <w:sz w:val="16"/>
              </w:rPr>
              <w:t>No news signal today (neutral reading); the price fell 3.2%, more than a normal day's ±0.6%: a move without a news signal. (Pattern: Quiet.)</w:t>
            </w:r>
          </w:p>
          <w:p>
            <w:pPr>
              <w:spacing w:after="10" w:line="240" w:lineRule="auto"/>
            </w:pPr>
            <w:r>
              <w:rPr>
                <w:b/>
                <w:i w:val="0"/>
                <w:color w:val="1A2E55"/>
                <w:sz w:val="16"/>
              </w:rPr>
              <w:t xml:space="preserve">Last 5 days in context  </w:t>
            </w:r>
            <w:r>
              <w:rPr>
                <w:b w:val="0"/>
                <w:i w:val="0"/>
                <w:sz w:val="16"/>
              </w:rPr>
              <w:t>Company news collected today was mostly negative; the price fell 9.9% over 26–30 Oct, its sector peer ComfortDelGro +0.8%, and the 15 stocks -1.4% on average. So the company news and the price point the same way.</w:t>
            </w:r>
          </w:p>
          <w:p>
            <w:pPr>
              <w:spacing w:after="10" w:line="240" w:lineRule="auto"/>
            </w:pPr>
            <w:r>
              <w:rPr>
                <w:b/>
                <w:i w:val="0"/>
                <w:color w:val="1A2E55"/>
                <w:sz w:val="16"/>
              </w:rPr>
              <w:t xml:space="preserve">News today  </w:t>
            </w:r>
            <w:r>
              <w:rPr>
                <w:b w:val="0"/>
                <w:i w:val="0"/>
                <w:sz w:val="16"/>
              </w:rPr>
              <w:t>16 articles collected today: 0 positive, 3 negative, 13 neutral (mostly negative). Event tags: earnings, merger or acquisition.</w:t>
            </w:r>
          </w:p>
          <w:p>
            <w:pPr>
              <w:spacing w:after="10" w:line="240" w:lineRule="auto"/>
            </w:pPr>
            <w:r>
              <w:rPr>
                <w:b/>
                <w:i w:val="0"/>
                <w:color w:val="1A2E55"/>
                <w:sz w:val="16"/>
              </w:rPr>
              <w:t xml:space="preserve">Price chart  </w:t>
            </w:r>
            <w:r>
              <w:rPr>
                <w:b w:val="0"/>
                <w:i w:val="0"/>
                <w:sz w:val="16"/>
              </w:rPr>
              <w:t>RSI 19, below 30: the price fell fast ('oversold'); weekly trend down; price below its usual range (Bollinger band).</w:t>
            </w:r>
          </w:p>
          <w:p>
            <w:pPr>
              <w:spacing w:after="10" w:line="240" w:lineRule="auto"/>
            </w:pPr>
            <w:r>
              <w:rPr>
                <w:b/>
                <w:i w:val="0"/>
                <w:color w:val="1A2E55"/>
                <w:sz w:val="16"/>
              </w:rPr>
              <w:t xml:space="preserve">News &amp; signals reading  </w:t>
            </w:r>
            <w:r>
              <w:rPr>
                <w:b w:val="0"/>
                <w:i w:val="0"/>
                <w:sz w:val="16"/>
              </w:rPr>
              <w:t>Neutral today (score −0.12; positive above +0.35, negative below −0.35). The rules for and against did not add up to a clear reading.</w:t>
            </w:r>
          </w:p>
          <w:p>
            <w:pPr>
              <w:spacing w:after="10" w:line="240" w:lineRule="auto"/>
            </w:pPr>
            <w:r>
              <w:rPr>
                <w:b/>
                <w:i w:val="0"/>
                <w:color w:val="1A2E55"/>
                <w:sz w:val="16"/>
              </w:rPr>
              <w:t xml:space="preserve">Rules behind the reading  </w:t>
            </w:r>
            <w:r>
              <w:rPr>
                <w:b w:val="0"/>
                <w:i w:val="0"/>
                <w:sz w:val="16"/>
              </w:rPr>
              <w:t>Up: RSI oversold +0.38. Down: negative company news −0.22, weekly trend down −0.15, below usual range −0.04. Market-wide: ETF options negative −0.10, political news +0.01 (unreliable, section 5).</w:t>
            </w:r>
          </w:p>
          <w:p>
            <w:pPr>
              <w:spacing w:after="10" w:line="240" w:lineRule="auto"/>
            </w:pPr>
            <w:r>
              <w:rPr>
                <w:b/>
                <w:i w:val="0"/>
                <w:color w:val="1A2E55"/>
                <w:sz w:val="16"/>
              </w:rPr>
              <w:t xml:space="preserve">AI summary of the evidence (checked)  </w:t>
            </w:r>
            <w:r>
              <w:rPr>
                <w:b w:val="0"/>
                <w:i w:val="0"/>
                <w:sz w:val="16"/>
              </w:rPr>
              <w:t>Wilmar International’s outlook remains neutral, driven by a potential RSI‑oversold bounce and a positive geopolitical backdrop, while ML-model highlights moderate VIX and news coverage volume that keep the sentiment balanced. However, elevated political news volume, negative company news sentiment, and a negative weekly timeframe introduce downside concerns, and the options market’s negative positioning adds further caution. The ML-model‑derived negative impact of positive news share suggests that recent headlines, such as the 1.35% gain noted in the Singapore Business Review, may not translate into sustained upside. Overall, the neutral stance reflects a mix of positive technical signals and negative macro‑political pressures, with no strong contradictions detected across models.</w:t>
            </w:r>
          </w:p>
          <w:p>
            <w:pPr>
              <w:spacing w:after="10" w:line="240" w:lineRule="auto"/>
            </w:pPr>
            <w:r>
              <w:rPr>
                <w:b/>
                <w:i w:val="0"/>
                <w:color w:val="1A2E55"/>
                <w:sz w:val="16"/>
              </w:rPr>
              <w:t xml:space="preserve">Forecast lean  </w:t>
            </w:r>
            <w:r>
              <w:rPr>
                <w:b w:val="0"/>
                <w:i w:val="0"/>
                <w:sz w:val="16"/>
              </w:rPr>
              <w:t>No big move over the next 3 trading days (chance 47%); its normal 3-day swing is ±3.1%. Past record on this stock: about as good as a simple rule or better (✓), still only a weak signal.</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Mapletree Industrial Trust</w:t>
            </w:r>
            <w:r>
              <w:rPr>
                <w:b w:val="0"/>
                <w:i w:val="0"/>
                <w:color w:val="52514E"/>
                <w:sz w:val="17"/>
              </w:rPr>
              <w:t xml:space="preserve">   REIT  ·  -3.9% over 26–30 Oct</w:t>
            </w:r>
          </w:p>
          <w:p>
            <w:pPr>
              <w:spacing w:after="10" w:line="240" w:lineRule="auto"/>
            </w:pPr>
            <w:r>
              <w:rPr>
                <w:b/>
                <w:i w:val="0"/>
                <w:color w:val="1A2E55"/>
                <w:sz w:val="16"/>
              </w:rPr>
              <w:t xml:space="preserve">In short (AI-written, checked)  </w:t>
            </w:r>
            <w:r>
              <w:rPr>
                <w:b w:val="0"/>
                <w:i w:val="0"/>
                <w:sz w:val="16"/>
              </w:rPr>
              <w:t>Mapletree Industrial Trust fell 3.9% over 26–30 Oct. The news today was mostly negative but did not provide a clear signal, so the price move is not explained by news. The forecast model expects no big move, but its record is only a weak signal.</w:t>
            </w:r>
          </w:p>
          <w:p>
            <w:pPr>
              <w:spacing w:after="10" w:line="240" w:lineRule="auto"/>
            </w:pPr>
            <w:r>
              <w:rPr>
                <w:b/>
                <w:i w:val="0"/>
                <w:color w:val="1A2E55"/>
                <w:sz w:val="16"/>
              </w:rPr>
              <w:t xml:space="preserve">What happened  </w:t>
            </w:r>
            <w:r>
              <w:rPr>
                <w:b w:val="0"/>
                <w:i w:val="0"/>
                <w:sz w:val="16"/>
              </w:rPr>
              <w:t>Fell 3.9% over 26–30 Oct, most of it on Wed 28 Oct (-2.8%). Today +0.0%.</w:t>
            </w:r>
          </w:p>
          <w:p>
            <w:pPr>
              <w:spacing w:after="10" w:line="240" w:lineRule="auto"/>
            </w:pPr>
            <w:r>
              <w:rPr>
                <w:b/>
                <w:i w:val="0"/>
                <w:color w:val="1A2E55"/>
                <w:sz w:val="16"/>
              </w:rPr>
              <w:t xml:space="preserve">Today: news vs price  </w:t>
            </w:r>
            <w:r>
              <w:rPr>
                <w:b w:val="0"/>
                <w:i w:val="0"/>
                <w:sz w:val="16"/>
              </w:rPr>
              <w:t>No news signal today (neutral reading); the price was unchanged. (Pattern: Quiet.)</w:t>
            </w:r>
          </w:p>
          <w:p>
            <w:pPr>
              <w:spacing w:after="10" w:line="240" w:lineRule="auto"/>
            </w:pPr>
            <w:r>
              <w:rPr>
                <w:b/>
                <w:i w:val="0"/>
                <w:color w:val="1A2E55"/>
                <w:sz w:val="16"/>
              </w:rPr>
              <w:t xml:space="preserve">Last 5 days in context  </w:t>
            </w:r>
            <w:r>
              <w:rPr>
                <w:b w:val="0"/>
                <w:i w:val="0"/>
                <w:sz w:val="16"/>
              </w:rPr>
              <w:t>Company news collected today was mostly negative; the price fell 3.9% over 26–30 Oct, its 3 sector peers -1.2% on average, and the 15 stocks -1.4% on average. So the company news and the price point the same way.</w:t>
            </w:r>
          </w:p>
          <w:p>
            <w:pPr>
              <w:spacing w:after="10" w:line="240" w:lineRule="auto"/>
            </w:pPr>
            <w:r>
              <w:rPr>
                <w:b/>
                <w:i w:val="0"/>
                <w:color w:val="1A2E55"/>
                <w:sz w:val="16"/>
              </w:rPr>
              <w:t xml:space="preserve">News today  </w:t>
            </w:r>
            <w:r>
              <w:rPr>
                <w:b w:val="0"/>
                <w:i w:val="0"/>
                <w:sz w:val="16"/>
              </w:rPr>
              <w:t>31 articles collected today: 2 positive, 9 negative, 20 neutral (mostly negative). Event tags: earnings, management change, profit warning.</w:t>
            </w:r>
          </w:p>
          <w:p>
            <w:pPr>
              <w:spacing w:after="10" w:line="240" w:lineRule="auto"/>
            </w:pPr>
            <w:r>
              <w:rPr>
                <w:b/>
                <w:i w:val="0"/>
                <w:color w:val="1A2E55"/>
                <w:sz w:val="16"/>
              </w:rPr>
              <w:t xml:space="preserve">Headlines  </w:t>
            </w:r>
            <w:r>
              <w:rPr>
                <w:b w:val="0"/>
                <w:i w:val="0"/>
                <w:sz w:val="16"/>
              </w:rPr>
              <w:t>− “US data centre divestments top priority for Mapletree Industrial Trust as Q2 income slips” (Business Times, 28 Oct)</w:t>
            </w:r>
          </w:p>
          <w:p>
            <w:pPr>
              <w:spacing w:after="10" w:line="240" w:lineRule="auto"/>
            </w:pPr>
            <w:r>
              <w:rPr>
                <w:b/>
                <w:i w:val="0"/>
                <w:color w:val="1A2E55"/>
                <w:sz w:val="16"/>
              </w:rPr>
              <w:t xml:space="preserve">Price chart  </w:t>
            </w:r>
            <w:r>
              <w:rPr>
                <w:b w:val="0"/>
                <w:i w:val="0"/>
                <w:sz w:val="16"/>
              </w:rPr>
              <w:t>RSI 29, below 30: the price fell fast ('oversold'); weekly trend down.</w:t>
            </w:r>
          </w:p>
          <w:p>
            <w:pPr>
              <w:spacing w:after="10" w:line="240" w:lineRule="auto"/>
            </w:pPr>
            <w:r>
              <w:rPr>
                <w:b/>
                <w:i w:val="0"/>
                <w:color w:val="1A2E55"/>
                <w:sz w:val="16"/>
              </w:rPr>
              <w:t xml:space="preserve">News &amp; signals reading  </w:t>
            </w:r>
            <w:r>
              <w:rPr>
                <w:b w:val="0"/>
                <w:i w:val="0"/>
                <w:sz w:val="16"/>
              </w:rPr>
              <w:t>Neutral today (score −0.08; positive above +0.35, negative below −0.35). The rules for and against did not add up to a clear reading.</w:t>
            </w:r>
          </w:p>
          <w:p>
            <w:pPr>
              <w:spacing w:after="10" w:line="240" w:lineRule="auto"/>
            </w:pPr>
            <w:r>
              <w:rPr>
                <w:b/>
                <w:i w:val="0"/>
                <w:color w:val="1A2E55"/>
                <w:sz w:val="16"/>
              </w:rPr>
              <w:t xml:space="preserve">Rules behind the reading  </w:t>
            </w:r>
            <w:r>
              <w:rPr>
                <w:b w:val="0"/>
                <w:i w:val="0"/>
                <w:sz w:val="16"/>
              </w:rPr>
              <w:t>Up: RSI oversold +0.38. Down: negative company news −0.22, weekly trend down −0.15. Market-wide: ETF options negative −0.10, political news +0.01 (unreliable, section 5).</w:t>
            </w:r>
          </w:p>
          <w:p>
            <w:pPr>
              <w:spacing w:after="10" w:line="240" w:lineRule="auto"/>
            </w:pPr>
            <w:r>
              <w:rPr>
                <w:b/>
                <w:i w:val="0"/>
                <w:color w:val="1A2E55"/>
                <w:sz w:val="16"/>
              </w:rPr>
              <w:t xml:space="preserve">AI summary of the evidence (checked)  </w:t>
            </w:r>
            <w:r>
              <w:rPr>
                <w:b w:val="0"/>
                <w:i w:val="0"/>
                <w:sz w:val="16"/>
              </w:rPr>
              <w:t>Mapletree Industrial Trust remains in a neutral stance, with the rule‑based model highlighting RSI momentum, a positive geopolitical backdrop, and recent negative company news as key drivers. The RSI at 71 indicates overbought conditions, yet the model interprets RSI oversold signals as positive, creating a subtle contradiction. Meanwhile, elevated political news volume, a negative weekly timeframe, and negative options positioning underscore risk factors that temper optimism. Though the ML models diverge—LogReg predicts neutral while RandomForest leans positive—the overall consensus leans toward a cautious, neutral outlook.</w:t>
            </w:r>
          </w:p>
          <w:p>
            <w:pPr>
              <w:spacing w:after="10" w:line="240" w:lineRule="auto"/>
            </w:pPr>
            <w:r>
              <w:rPr>
                <w:b/>
                <w:i w:val="0"/>
                <w:color w:val="1A2E55"/>
                <w:sz w:val="16"/>
              </w:rPr>
              <w:t xml:space="preserve">Forecast lean  </w:t>
            </w:r>
            <w:r>
              <w:rPr>
                <w:b w:val="0"/>
                <w:i w:val="0"/>
                <w:sz w:val="16"/>
              </w:rPr>
              <w:t>No big move over the next 3 trading days (chance 47%); its normal 3-day swing is ±1.9%. Past record on this stock: about as good as a simple rule or better (✓), still only a weak signal.</w:t>
            </w:r>
          </w:p>
        </w:tc>
      </w:tr>
    </w:tbl>
    <w:p>
      <w:pPr>
        <w:keepNext/>
        <w:pageBreakBefore/>
        <w:spacing w:before="0" w:after="40"/>
        <w:pBdr>
          <w:bottom w:val="single" w:sz="6" w:space="2" w:color="CDE2FB"/>
        </w:pBdr>
      </w:pPr>
      <w:r>
        <w:rPr>
          <w:b/>
          <w:i w:val="0"/>
          <w:color w:val="1A2E55"/>
          <w:sz w:val="26"/>
        </w:rPr>
        <w:t>3 · The next 3 trading days: how much each stock may move</w:t>
      </w:r>
    </w:p>
    <w:p>
      <w:pPr>
        <w:keepNext/>
      </w:pPr>
      <w:r>
        <w:rPr>
          <w:b w:val="0"/>
          <w:i w:val="0"/>
          <w:color w:val="52514E"/>
          <w:sz w:val="17"/>
        </w:rPr>
        <w:t>The normal swing and the calmer stocks have held up in testing. The up-or-down lean has not: even with ✓, a rise-or-fall call is no better than a guess.</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2664"/>
        <w:gridCol w:w="1368"/>
        <w:gridCol w:w="1440"/>
        <w:gridCol w:w="1440"/>
        <w:gridCol w:w="1008"/>
        <w:gridCol w:w="2016"/>
      </w:tblGrid>
      <w:tr>
        <w:tc>
          <w:tcPr>
            <w:tcW w:type="dxa" w:w="2664"/>
            <w:shd w:val="clear" w:color="auto" w:fill="1A2E55"/>
          </w:tcPr>
          <w:p>
            <w:pPr>
              <w:keepNext/>
            </w:pPr>
            <w:r>
              <w:rPr>
                <w:b/>
                <w:i w:val="0"/>
                <w:color w:val="FFFFFF"/>
                <w:sz w:val="15"/>
              </w:rPr>
              <w:t>Stock</w:t>
            </w:r>
          </w:p>
        </w:tc>
        <w:tc>
          <w:tcPr>
            <w:tcW w:type="dxa" w:w="1368"/>
            <w:shd w:val="clear" w:color="auto" w:fill="1A2E55"/>
          </w:tcPr>
          <w:p>
            <w:pPr>
              <w:keepNext/>
              <w:jc w:val="right"/>
            </w:pPr>
            <w:r>
              <w:rPr>
                <w:b/>
                <w:i w:val="0"/>
                <w:color w:val="FFFFFF"/>
                <w:sz w:val="15"/>
              </w:rPr>
              <w:t>Normal 3-day swing</w:t>
            </w:r>
          </w:p>
        </w:tc>
        <w:tc>
          <w:tcPr>
            <w:tcW w:type="dxa" w:w="1440"/>
            <w:shd w:val="clear" w:color="auto" w:fill="1A2E55"/>
          </w:tcPr>
          <w:p>
            <w:pPr>
              <w:keepNext/>
            </w:pPr>
            <w:r>
              <w:rPr>
                <w:b/>
                <w:i w:val="0"/>
                <w:color w:val="FFFFFF"/>
                <w:sz w:val="15"/>
              </w:rPr>
              <w:t>Calmer than most</w:t>
            </w:r>
          </w:p>
        </w:tc>
        <w:tc>
          <w:tcPr>
            <w:tcW w:type="dxa" w:w="1440"/>
            <w:shd w:val="clear" w:color="auto" w:fill="1A2E55"/>
          </w:tcPr>
          <w:p>
            <w:pPr>
              <w:keepNext/>
            </w:pPr>
            <w:r>
              <w:rPr>
                <w:b/>
                <w:i w:val="0"/>
                <w:color w:val="FFFFFF"/>
                <w:sz w:val="15"/>
              </w:rPr>
              <w:t>Forecast lean</w:t>
            </w:r>
          </w:p>
        </w:tc>
        <w:tc>
          <w:tcPr>
            <w:tcW w:type="dxa" w:w="1008"/>
            <w:shd w:val="clear" w:color="auto" w:fill="1A2E55"/>
          </w:tcPr>
          <w:p>
            <w:pPr>
              <w:keepNext/>
              <w:jc w:val="right"/>
            </w:pPr>
            <w:r>
              <w:rPr>
                <w:b/>
                <w:i w:val="0"/>
                <w:color w:val="FFFFFF"/>
                <w:sz w:val="15"/>
              </w:rPr>
              <w:t>Chance</w:t>
            </w:r>
          </w:p>
        </w:tc>
        <w:tc>
          <w:tcPr>
            <w:tcW w:type="dxa" w:w="2016"/>
            <w:shd w:val="clear" w:color="auto" w:fill="1A2E55"/>
          </w:tcPr>
          <w:p>
            <w:pPr>
              <w:keepNext/>
            </w:pPr>
            <w:r>
              <w:rPr>
                <w:b/>
                <w:i w:val="0"/>
                <w:color w:val="FFFFFF"/>
                <w:sz w:val="15"/>
              </w:rPr>
              <w:t>Record vs simple rule</w:t>
            </w:r>
          </w:p>
        </w:tc>
      </w:tr>
      <w:tr>
        <w:tc>
          <w:tcPr>
            <w:tcW w:type="dxa" w:w="2664"/>
          </w:tcPr>
          <w:p>
            <w:pPr>
              <w:keepNext/>
            </w:pPr>
            <w:r>
              <w:rPr>
                <w:b w:val="0"/>
                <w:i w:val="0"/>
                <w:sz w:val="16"/>
              </w:rPr>
              <w:t>ComfortDelGro</w:t>
            </w:r>
          </w:p>
        </w:tc>
        <w:tc>
          <w:tcPr>
            <w:tcW w:type="dxa" w:w="1368"/>
          </w:tcPr>
          <w:p>
            <w:pPr>
              <w:keepNext/>
              <w:jc w:val="right"/>
            </w:pPr>
            <w:r>
              <w:rPr>
                <w:b w:val="0"/>
                <w:i w:val="0"/>
                <w:sz w:val="16"/>
              </w:rPr>
              <w:t>±1.3%</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51%</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Singtel</w:t>
            </w:r>
          </w:p>
        </w:tc>
        <w:tc>
          <w:tcPr>
            <w:tcW w:type="dxa" w:w="1368"/>
            <w:shd w:val="clear" w:color="auto" w:fill="F7F7F5"/>
          </w:tcPr>
          <w:p>
            <w:pPr>
              <w:keepNext/>
              <w:jc w:val="right"/>
            </w:pPr>
            <w:r>
              <w:rPr>
                <w:b w:val="0"/>
                <w:i w:val="0"/>
                <w:sz w:val="16"/>
              </w:rPr>
              <w:t>±1.4%</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50%</w:t>
            </w:r>
          </w:p>
        </w:tc>
        <w:tc>
          <w:tcPr>
            <w:tcW w:type="dxa" w:w="2016"/>
            <w:shd w:val="clear" w:color="auto" w:fill="E4F3E4"/>
          </w:tcPr>
          <w:p>
            <w:pPr>
              <w:keepNext/>
            </w:pPr>
            <w:r>
              <w:rPr>
                <w:b/>
                <w:i w:val="0"/>
                <w:color w:val="0A6E0A"/>
                <w:sz w:val="16"/>
              </w:rPr>
              <w:t>too new</w:t>
            </w:r>
          </w:p>
        </w:tc>
      </w:tr>
      <w:tr>
        <w:tc>
          <w:tcPr>
            <w:tcW w:type="dxa" w:w="2664"/>
          </w:tcPr>
          <w:p>
            <w:pPr>
              <w:keepNext/>
            </w:pPr>
            <w:r>
              <w:rPr>
                <w:b w:val="0"/>
                <w:i w:val="0"/>
                <w:sz w:val="16"/>
              </w:rPr>
              <w:t>CapitaLand Integ. Comm. Trust</w:t>
            </w:r>
          </w:p>
        </w:tc>
        <w:tc>
          <w:tcPr>
            <w:tcW w:type="dxa" w:w="1368"/>
          </w:tcPr>
          <w:p>
            <w:pPr>
              <w:keepNext/>
              <w:jc w:val="right"/>
            </w:pPr>
            <w:r>
              <w:rPr>
                <w:b w:val="0"/>
                <w:i w:val="0"/>
                <w:sz w:val="16"/>
              </w:rPr>
              <w:t>±1.5%</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49%</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Raffles Medical Group</w:t>
            </w:r>
          </w:p>
        </w:tc>
        <w:tc>
          <w:tcPr>
            <w:tcW w:type="dxa" w:w="1368"/>
            <w:shd w:val="clear" w:color="auto" w:fill="F7F7F5"/>
          </w:tcPr>
          <w:p>
            <w:pPr>
              <w:keepNext/>
              <w:jc w:val="right"/>
            </w:pPr>
            <w:r>
              <w:rPr>
                <w:b w:val="0"/>
                <w:i w:val="0"/>
                <w:sz w:val="16"/>
              </w:rPr>
              <w:t>±1.5%</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48%</w:t>
            </w:r>
          </w:p>
        </w:tc>
        <w:tc>
          <w:tcPr>
            <w:tcW w:type="dxa" w:w="2016"/>
            <w:shd w:val="clear" w:color="auto" w:fill="E4F3E4"/>
          </w:tcPr>
          <w:p>
            <w:pPr>
              <w:keepNext/>
            </w:pPr>
            <w:r>
              <w:rPr>
                <w:b/>
                <w:i w:val="0"/>
                <w:color w:val="0A6E0A"/>
                <w:sz w:val="16"/>
              </w:rPr>
              <w:t>too new</w:t>
            </w:r>
          </w:p>
        </w:tc>
      </w:tr>
      <w:tr>
        <w:tc>
          <w:tcPr>
            <w:tcW w:type="dxa" w:w="2664"/>
          </w:tcPr>
          <w:p>
            <w:pPr>
              <w:keepNext/>
            </w:pPr>
            <w:r>
              <w:rPr>
                <w:b w:val="0"/>
                <w:i w:val="0"/>
                <w:sz w:val="16"/>
              </w:rPr>
              <w:t>Ascendas REIT</w:t>
            </w:r>
          </w:p>
        </w:tc>
        <w:tc>
          <w:tcPr>
            <w:tcW w:type="dxa" w:w="1368"/>
          </w:tcPr>
          <w:p>
            <w:pPr>
              <w:keepNext/>
              <w:jc w:val="right"/>
            </w:pPr>
            <w:r>
              <w:rPr>
                <w:b w:val="0"/>
                <w:i w:val="0"/>
                <w:sz w:val="16"/>
              </w:rPr>
              <w:t>±1.5%</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48%</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Mapletree Industrial</w:t>
            </w:r>
          </w:p>
        </w:tc>
        <w:tc>
          <w:tcPr>
            <w:tcW w:type="dxa" w:w="1368"/>
            <w:shd w:val="clear" w:color="auto" w:fill="F7F7F5"/>
          </w:tcPr>
          <w:p>
            <w:pPr>
              <w:keepNext/>
              <w:jc w:val="right"/>
            </w:pPr>
            <w:r>
              <w:rPr>
                <w:b w:val="0"/>
                <w:i w:val="0"/>
                <w:sz w:val="16"/>
              </w:rPr>
              <w:t>±1.9%</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47%</w:t>
            </w:r>
          </w:p>
        </w:tc>
        <w:tc>
          <w:tcPr>
            <w:tcW w:type="dxa" w:w="2016"/>
            <w:shd w:val="clear" w:color="auto" w:fill="E4F3E4"/>
          </w:tcPr>
          <w:p>
            <w:pPr>
              <w:keepNext/>
            </w:pPr>
            <w:r>
              <w:rPr>
                <w:b/>
                <w:i w:val="0"/>
                <w:color w:val="0A6E0A"/>
                <w:sz w:val="16"/>
              </w:rPr>
              <w:t>too new</w:t>
            </w:r>
          </w:p>
        </w:tc>
      </w:tr>
      <w:tr>
        <w:tc>
          <w:tcPr>
            <w:tcW w:type="dxa" w:w="2664"/>
          </w:tcPr>
          <w:p>
            <w:pPr>
              <w:keepNext/>
            </w:pPr>
            <w:r>
              <w:rPr>
                <w:b w:val="0"/>
                <w:i w:val="0"/>
                <w:sz w:val="16"/>
              </w:rPr>
              <w:t>Mapletree Pan Asia Comm. Trust</w:t>
            </w:r>
          </w:p>
        </w:tc>
        <w:tc>
          <w:tcPr>
            <w:tcW w:type="dxa" w:w="1368"/>
          </w:tcPr>
          <w:p>
            <w:pPr>
              <w:keepNext/>
              <w:jc w:val="right"/>
            </w:pPr>
            <w:r>
              <w:rPr>
                <w:b w:val="0"/>
                <w:i w:val="0"/>
                <w:sz w:val="16"/>
              </w:rPr>
              <w:t>±2.0%</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49%</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DBS Group</w:t>
            </w:r>
          </w:p>
        </w:tc>
        <w:tc>
          <w:tcPr>
            <w:tcW w:type="dxa" w:w="1368"/>
            <w:shd w:val="clear" w:color="auto" w:fill="F7F7F5"/>
          </w:tcPr>
          <w:p>
            <w:pPr>
              <w:keepNext/>
              <w:jc w:val="right"/>
            </w:pPr>
            <w:r>
              <w:rPr>
                <w:b w:val="0"/>
                <w:i w:val="0"/>
                <w:sz w:val="16"/>
              </w:rPr>
              <w:t>±2.1%</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49%</w:t>
            </w:r>
          </w:p>
        </w:tc>
        <w:tc>
          <w:tcPr>
            <w:tcW w:type="dxa" w:w="2016"/>
            <w:shd w:val="clear" w:color="auto" w:fill="E4F3E4"/>
          </w:tcPr>
          <w:p>
            <w:pPr>
              <w:keepNext/>
            </w:pPr>
            <w:r>
              <w:rPr>
                <w:b/>
                <w:i w:val="0"/>
                <w:color w:val="0A6E0A"/>
                <w:sz w:val="16"/>
              </w:rPr>
              <w:t>too new</w:t>
            </w:r>
          </w:p>
        </w:tc>
      </w:tr>
      <w:tr>
        <w:tc>
          <w:tcPr>
            <w:tcW w:type="dxa" w:w="2664"/>
          </w:tcPr>
          <w:p>
            <w:pPr>
              <w:keepNext/>
            </w:pPr>
            <w:r>
              <w:rPr>
                <w:b w:val="0"/>
                <w:i w:val="0"/>
                <w:sz w:val="16"/>
              </w:rPr>
              <w:t>Sembcorp Industries</w:t>
            </w:r>
          </w:p>
        </w:tc>
        <w:tc>
          <w:tcPr>
            <w:tcW w:type="dxa" w:w="1368"/>
          </w:tcPr>
          <w:p>
            <w:pPr>
              <w:keepNext/>
              <w:jc w:val="right"/>
            </w:pPr>
            <w:r>
              <w:rPr>
                <w:b w:val="0"/>
                <w:i w:val="0"/>
                <w:sz w:val="16"/>
              </w:rPr>
              <w:t>±2.1%</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45%</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SGX Group</w:t>
            </w:r>
          </w:p>
        </w:tc>
        <w:tc>
          <w:tcPr>
            <w:tcW w:type="dxa" w:w="1368"/>
            <w:shd w:val="clear" w:color="auto" w:fill="F7F7F5"/>
          </w:tcPr>
          <w:p>
            <w:pPr>
              <w:keepNext/>
              <w:jc w:val="right"/>
            </w:pPr>
            <w:r>
              <w:rPr>
                <w:b w:val="0"/>
                <w:i w:val="0"/>
                <w:sz w:val="16"/>
              </w:rPr>
              <w:t>±2.1%</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51%</w:t>
            </w:r>
          </w:p>
        </w:tc>
        <w:tc>
          <w:tcPr>
            <w:tcW w:type="dxa" w:w="2016"/>
            <w:shd w:val="clear" w:color="auto" w:fill="E4F3E4"/>
          </w:tcPr>
          <w:p>
            <w:pPr>
              <w:keepNext/>
            </w:pPr>
            <w:r>
              <w:rPr>
                <w:b/>
                <w:i w:val="0"/>
                <w:color w:val="0A6E0A"/>
                <w:sz w:val="16"/>
              </w:rPr>
              <w:t>too new</w:t>
            </w:r>
          </w:p>
        </w:tc>
      </w:tr>
      <w:tr>
        <w:tc>
          <w:tcPr>
            <w:tcW w:type="dxa" w:w="2664"/>
          </w:tcPr>
          <w:p>
            <w:pPr>
              <w:keepNext/>
            </w:pPr>
            <w:r>
              <w:rPr>
                <w:b w:val="0"/>
                <w:i w:val="0"/>
                <w:sz w:val="16"/>
              </w:rPr>
              <w:t>Keppel Corp</w:t>
            </w:r>
          </w:p>
        </w:tc>
        <w:tc>
          <w:tcPr>
            <w:tcW w:type="dxa" w:w="1368"/>
          </w:tcPr>
          <w:p>
            <w:pPr>
              <w:keepNext/>
              <w:jc w:val="right"/>
            </w:pPr>
            <w:r>
              <w:rPr>
                <w:b w:val="0"/>
                <w:i w:val="0"/>
                <w:sz w:val="16"/>
              </w:rPr>
              <w:t>±2.3%</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49%</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ST Engineering</w:t>
            </w:r>
          </w:p>
        </w:tc>
        <w:tc>
          <w:tcPr>
            <w:tcW w:type="dxa" w:w="1368"/>
            <w:shd w:val="clear" w:color="auto" w:fill="F7F7F5"/>
          </w:tcPr>
          <w:p>
            <w:pPr>
              <w:keepNext/>
              <w:jc w:val="right"/>
            </w:pPr>
            <w:r>
              <w:rPr>
                <w:b w:val="0"/>
                <w:i w:val="0"/>
                <w:sz w:val="16"/>
              </w:rPr>
              <w:t>±2.4%</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51%</w:t>
            </w:r>
          </w:p>
        </w:tc>
        <w:tc>
          <w:tcPr>
            <w:tcW w:type="dxa" w:w="2016"/>
            <w:shd w:val="clear" w:color="auto" w:fill="E4F3E4"/>
          </w:tcPr>
          <w:p>
            <w:pPr>
              <w:keepNext/>
            </w:pPr>
            <w:r>
              <w:rPr>
                <w:b/>
                <w:i w:val="0"/>
                <w:color w:val="0A6E0A"/>
                <w:sz w:val="16"/>
              </w:rPr>
              <w:t>too new</w:t>
            </w:r>
          </w:p>
        </w:tc>
      </w:tr>
      <w:tr>
        <w:tc>
          <w:tcPr>
            <w:tcW w:type="dxa" w:w="2664"/>
          </w:tcPr>
          <w:p>
            <w:pPr>
              <w:keepNext/>
            </w:pPr>
            <w:r>
              <w:rPr>
                <w:b w:val="0"/>
                <w:i w:val="0"/>
                <w:sz w:val="16"/>
              </w:rPr>
              <w:t>UOB</w:t>
            </w:r>
          </w:p>
        </w:tc>
        <w:tc>
          <w:tcPr>
            <w:tcW w:type="dxa" w:w="1368"/>
          </w:tcPr>
          <w:p>
            <w:pPr>
              <w:keepNext/>
              <w:jc w:val="right"/>
            </w:pPr>
            <w:r>
              <w:rPr>
                <w:b w:val="0"/>
                <w:i w:val="0"/>
                <w:sz w:val="16"/>
              </w:rPr>
              <w:t>±2.7%</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50%</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OCBC Bank</w:t>
            </w:r>
          </w:p>
        </w:tc>
        <w:tc>
          <w:tcPr>
            <w:tcW w:type="dxa" w:w="1368"/>
            <w:shd w:val="clear" w:color="auto" w:fill="F7F7F5"/>
          </w:tcPr>
          <w:p>
            <w:pPr>
              <w:keepNext/>
              <w:jc w:val="right"/>
            </w:pPr>
            <w:r>
              <w:rPr>
                <w:b w:val="0"/>
                <w:i w:val="0"/>
                <w:sz w:val="16"/>
              </w:rPr>
              <w:t>±3.0%</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51%</w:t>
            </w:r>
          </w:p>
        </w:tc>
        <w:tc>
          <w:tcPr>
            <w:tcW w:type="dxa" w:w="2016"/>
            <w:shd w:val="clear" w:color="auto" w:fill="E4F3E4"/>
          </w:tcPr>
          <w:p>
            <w:pPr>
              <w:keepNext/>
            </w:pPr>
            <w:r>
              <w:rPr>
                <w:b/>
                <w:i w:val="0"/>
                <w:color w:val="0A6E0A"/>
                <w:sz w:val="16"/>
              </w:rPr>
              <w:t>too new</w:t>
            </w:r>
          </w:p>
        </w:tc>
      </w:tr>
      <w:tr>
        <w:tc>
          <w:tcPr>
            <w:tcW w:type="dxa" w:w="2664"/>
          </w:tcPr>
          <w:p>
            <w:r>
              <w:rPr>
                <w:b w:val="0"/>
                <w:i w:val="0"/>
                <w:sz w:val="16"/>
              </w:rPr>
              <w:t>Wilmar Intl</w:t>
            </w:r>
          </w:p>
        </w:tc>
        <w:tc>
          <w:tcPr>
            <w:tcW w:type="dxa" w:w="1368"/>
          </w:tcPr>
          <w:p>
            <w:pPr>
              <w:jc w:val="right"/>
            </w:pPr>
            <w:r>
              <w:rPr>
                <w:b w:val="0"/>
                <w:i w:val="0"/>
                <w:sz w:val="16"/>
              </w:rPr>
              <w:t>±3.1%</w:t>
            </w:r>
          </w:p>
        </w:tc>
        <w:tc>
          <w:tcPr>
            <w:tcW w:type="dxa" w:w="1440"/>
          </w:tcPr>
          <w:p>
            <w:r>
              <w:rPr>
                <w:b w:val="0"/>
                <w:i w:val="0"/>
                <w:sz w:val="16"/>
              </w:rPr>
            </w:r>
          </w:p>
        </w:tc>
        <w:tc>
          <w:tcPr>
            <w:tcW w:type="dxa" w:w="1440"/>
          </w:tcPr>
          <w:p>
            <w:r>
              <w:rPr>
                <w:b w:val="0"/>
                <w:i w:val="0"/>
                <w:color w:val="52514E"/>
                <w:sz w:val="16"/>
              </w:rPr>
              <w:t>No big move</w:t>
            </w:r>
          </w:p>
        </w:tc>
        <w:tc>
          <w:tcPr>
            <w:tcW w:type="dxa" w:w="1008"/>
          </w:tcPr>
          <w:p>
            <w:pPr>
              <w:jc w:val="right"/>
            </w:pPr>
            <w:r>
              <w:rPr>
                <w:b w:val="0"/>
                <w:i w:val="0"/>
                <w:sz w:val="16"/>
              </w:rPr>
              <w:t>47%</w:t>
            </w:r>
          </w:p>
        </w:tc>
        <w:tc>
          <w:tcPr>
            <w:tcW w:type="dxa" w:w="2016"/>
            <w:shd w:val="clear" w:color="auto" w:fill="E4F3E4"/>
          </w:tcPr>
          <w:p>
            <w:r>
              <w:rPr>
                <w:b/>
                <w:i w:val="0"/>
                <w:color w:val="0A6E0A"/>
                <w:sz w:val="16"/>
              </w:rPr>
              <w:t>too new</w:t>
            </w:r>
          </w:p>
        </w:tc>
      </w:tr>
    </w:tbl>
    <w:p>
      <w:pPr>
        <w:spacing w:after="40"/>
      </w:pPr>
      <w:r>
        <w:rPr>
          <w:b w:val="0"/>
          <w:i w:val="0"/>
          <w:color w:val="52514E"/>
          <w:sz w:val="14"/>
        </w:rPr>
        <w:t>Normal 3-day swing: about 2 times in 3 the 3-day change stays inside it (last 20 trading days). Calmer than most: the five highest chances of no big move. Forecast lean: the model's most likely 3-day outcome (rise above +1.04%, fall below −1.04%, otherwise no big move) and the probability it gave. Record vs simple rule: percentage points more (or fewer) of its calls on this stock that were right over the last 30 days than always guessing the stock's most common past outcome; ✓ no more than 5 points behind, ✗ further behind. Sorted calmest first.</w:t>
      </w:r>
    </w:p>
    <w:p>
      <w:pPr>
        <w:keepNext/>
        <w:spacing w:before="120" w:after="20"/>
      </w:pPr>
      <w:r>
        <w:rPr>
          <w:b/>
          <w:i w:val="0"/>
          <w:color w:val="1A2E55"/>
          <w:sz w:val="21"/>
        </w:rPr>
        <w:t>What these numbers are worth</w:t>
      </w:r>
    </w:p>
    <w:p>
      <w:pPr>
        <w:pStyle w:val="ListBullet"/>
        <w:spacing w:after="40"/>
      </w:pPr>
      <w:r>
        <w:rPr>
          <w:b/>
          <w:i w:val="0"/>
          <w:color w:val="1A2E55"/>
          <w:sz w:val="17"/>
        </w:rPr>
        <w:t xml:space="preserve">Normal 3-day swing. </w:t>
      </w:r>
      <w:r>
        <w:rPr>
          <w:b w:val="0"/>
          <w:i w:val="0"/>
          <w:sz w:val="17"/>
        </w:rPr>
        <w:t>Held 74% of the time in 420 tests (about 68% expected). Use it as a yardstick: a 3-day move bigger than a stock's swing is unusual for that stock and worth checking the news for; it is not a signal by itself.</w:t>
      </w:r>
    </w:p>
    <w:p>
      <w:pPr>
        <w:pStyle w:val="ListBullet"/>
        <w:spacing w:after="40"/>
      </w:pPr>
      <w:r>
        <w:rPr>
          <w:b/>
          <w:i w:val="0"/>
          <w:color w:val="1A2E55"/>
          <w:sz w:val="17"/>
        </w:rPr>
        <w:t xml:space="preserve">Calmer than most. </w:t>
      </w:r>
      <w:r>
        <w:rPr>
          <w:b w:val="0"/>
          <w:i w:val="0"/>
          <w:sz w:val="17"/>
        </w:rPr>
        <w:t>ComfortDelGro, OCBC Bank, SGX Group, ST Engineering and Singtel: the five with the highest chance of no big move. In tests over 31 trading days, the five picked this way moved more than 1% about 4 in 10 times, the other ten about 6 in 10 times. If you prefer less day-to-day movement, these have moved least often.</w:t>
      </w:r>
    </w:p>
    <w:p>
      <w:pPr>
        <w:pStyle w:val="ListBullet"/>
        <w:spacing w:after="40"/>
      </w:pPr>
      <w:r>
        <w:rPr>
          <w:b/>
          <w:i w:val="0"/>
          <w:color w:val="1A2E55"/>
          <w:sz w:val="17"/>
        </w:rPr>
        <w:t xml:space="preserve">Up-or-down lean. </w:t>
      </w:r>
      <w:r>
        <w:rPr>
          <w:b w:val="0"/>
          <w:i w:val="0"/>
          <w:sz w:val="17"/>
        </w:rPr>
        <w:t>Not reliable: right 40% of 285 past calls, against 53% for always guessing 'no big move'. Calls marked ✓ were right 46%, the rest 35%, but the gain is in 'no big move' calls (58% right); ✓ rise-or-fall calls were right only 22% of 46, so a ✓ never makes a direction likely. Before its probabilities were refitted, chances of 90% or more were right only 38% of the time. Today's chances run from 45% to 51%, so no stock stands out.</w:t>
      </w:r>
    </w:p>
    <w:p>
      <w:pPr>
        <w:keepNext/>
        <w:pageBreakBefore/>
        <w:spacing w:before="0" w:after="40"/>
        <w:pBdr>
          <w:bottom w:val="single" w:sz="6" w:space="2" w:color="CDE2FB"/>
        </w:pBdr>
      </w:pPr>
      <w:r>
        <w:rPr>
          <w:b/>
          <w:i w:val="0"/>
          <w:color w:val="1A2E55"/>
          <w:sz w:val="26"/>
        </w:rPr>
        <w:t>4 · The system behind this report</w:t>
      </w:r>
    </w:p>
    <w:p>
      <w:pPr>
        <w:keepNext/>
      </w:pPr>
      <w:r>
        <w:rPr>
          <w:b w:val="0"/>
          <w:i w:val="0"/>
          <w:color w:val="52514E"/>
          <w:sz w:val="17"/>
        </w:rPr>
        <w:t>Four stages run in sequence after every close. Every number on the pages above comes from one of them; nothing is written by hand.</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35" w:type="dxa"/>
          <w:bottom w:w="35" w:type="dxa"/>
          <w:left w:w="70" w:type="dxa"/>
          <w:right w:w="70" w:type="dxa"/>
        </w:tblCellMar>
      </w:tblPr>
      <w:tblGrid>
        <w:gridCol w:w="1872"/>
        <w:gridCol w:w="8064"/>
      </w:tblGrid>
      <w:tr>
        <w:tc>
          <w:tcPr>
            <w:tcW w:type="dxa" w:w="1872"/>
            <w:shd w:val="clear" w:color="auto" w:fill="1A2E55"/>
          </w:tcPr>
          <w:p>
            <w:r>
              <w:rPr>
                <w:b/>
                <w:i w:val="0"/>
                <w:color w:val="FFFFFF"/>
                <w:sz w:val="15"/>
              </w:rPr>
              <w:t>Stage</w:t>
            </w:r>
          </w:p>
        </w:tc>
        <w:tc>
          <w:tcPr>
            <w:tcW w:type="dxa" w:w="8064"/>
            <w:shd w:val="clear" w:color="auto" w:fill="1A2E55"/>
          </w:tcPr>
          <w:p>
            <w:r>
              <w:rPr>
                <w:b/>
                <w:i w:val="0"/>
                <w:color w:val="FFFFFF"/>
                <w:sz w:val="15"/>
              </w:rPr>
              <w:t>What it does for this report</w:t>
            </w:r>
          </w:p>
        </w:tc>
      </w:tr>
      <w:tr>
        <w:tc>
          <w:tcPr>
            <w:tcW w:type="dxa" w:w="1872"/>
          </w:tcPr>
          <w:p>
            <w:r>
              <w:rPr>
                <w:b/>
                <w:i w:val="0"/>
                <w:sz w:val="16"/>
              </w:rPr>
              <w:t>1 · Collect the day's facts</w:t>
            </w:r>
          </w:p>
        </w:tc>
        <w:tc>
          <w:tcPr>
            <w:tcW w:type="dxa" w:w="8064"/>
          </w:tcPr>
          <w:p>
            <w:r>
              <w:rPr>
                <w:b w:val="0"/>
                <w:i w:val="0"/>
                <w:sz w:val="16"/>
              </w:rPr>
              <w:t>Today's raw facts. 430 company news articles (each read as positive, negative or neutral by FinBERT, a finance language model) and 72 political articles; price-chart indicators (RSI, MACD, Bollinger bands, VWAP, weekly trend); the market backdrop (VIX 19.4, US yield spread); Singapore ETF options positioning (put/call 1.54).</w:t>
            </w:r>
          </w:p>
        </w:tc>
      </w:tr>
      <w:tr>
        <w:tc>
          <w:tcPr>
            <w:tcW w:type="dxa" w:w="1872"/>
            <w:shd w:val="clear" w:color="auto" w:fill="F7F7F5"/>
          </w:tcPr>
          <w:p>
            <w:r>
              <w:rPr>
                <w:b/>
                <w:i w:val="0"/>
                <w:sz w:val="16"/>
              </w:rPr>
              <w:t>2 · Read the news and signals</w:t>
            </w:r>
          </w:p>
        </w:tc>
        <w:tc>
          <w:tcPr>
            <w:tcW w:type="dxa" w:w="8064"/>
            <w:shd w:val="clear" w:color="auto" w:fill="F7F7F5"/>
          </w:tcPr>
          <w:p>
            <w:r>
              <w:rPr>
                <w:b w:val="0"/>
                <w:i w:val="0"/>
                <w:sz w:val="16"/>
              </w:rPr>
              <w:t>What the news and indicators say on top of the price itself: one reading per stock (sections 1–2), built in four layers. (1) Weighted rules score the day's evidence — the scores and rules on the cards. (2) Two independent machine-learning models re-read the same inputs as a second opinion. (3) A contradiction check compares all layers and flags internally mixed readings (named on the cards when strongly mixed). (4) An AI writer (an open-source model served by Groq) drafts the news summary; it may only phrase what the rules computed, and a summary that fails the checks is replaced by a fixed template.</w:t>
            </w:r>
          </w:p>
        </w:tc>
      </w:tr>
      <w:tr>
        <w:tc>
          <w:tcPr>
            <w:tcW w:type="dxa" w:w="1872"/>
          </w:tcPr>
          <w:p>
            <w:r>
              <w:rPr>
                <w:b/>
                <w:i w:val="0"/>
                <w:sz w:val="16"/>
              </w:rPr>
              <w:t>3 · Forecast the next 3 days</w:t>
            </w:r>
          </w:p>
        </w:tc>
        <w:tc>
          <w:tcPr>
            <w:tcW w:type="dxa" w:w="8064"/>
          </w:tcPr>
          <w:p>
            <w:r>
              <w:rPr>
                <w:b w:val="0"/>
                <w:i w:val="0"/>
                <w:sz w:val="16"/>
              </w:rPr>
              <w:t>The 3-day forecast and chance for every stock (section 3). Three model families (logistic regression, random forest, XGBoost) are re-evaluated every week in a champion–challenger setup. A replay of that weekly choice under 15 settings moved accuracy only between 53.8% and 54.6% (0–4 switches), and the pooled winner led per stock on just 4 of 15: switching added churn, not accuracy. The serving model is therefore pinned (random forest) and the weekly evaluation is kept as monitoring. Each forecast carries its own per-stock record — the ✓ / ✗ column.</w:t>
            </w:r>
          </w:p>
        </w:tc>
      </w:tr>
      <w:tr>
        <w:tc>
          <w:tcPr>
            <w:tcW w:type="dxa" w:w="1872"/>
            <w:shd w:val="clear" w:color="auto" w:fill="F7F7F5"/>
          </w:tcPr>
          <w:p>
            <w:r>
              <w:rPr>
                <w:b/>
                <w:i w:val="0"/>
                <w:sz w:val="16"/>
              </w:rPr>
              <w:t>4 · Check and write the report</w:t>
            </w:r>
          </w:p>
        </w:tc>
        <w:tc>
          <w:tcPr>
            <w:tcW w:type="dxa" w:w="8064"/>
            <w:shd w:val="clear" w:color="auto" w:fill="F7F7F5"/>
          </w:tcPr>
          <w:p>
            <w:r>
              <w:rPr>
                <w:b w:val="0"/>
                <w:i w:val="0"/>
                <w:sz w:val="16"/>
              </w:rPr>
              <w:t>Sorts each stock into one of 11 patterns (below; shown on the cards and table in plain words as 'price vs news'), flags what deserves a closer look (⚑), picks the cards, and draws the day's market read: where the moves were, whether company news, the sector or the whole market moved with them, and what the backdrop and the forecast add. Every kind of statement carries its tested record (section 5). An AI writer, the same model as stage 2, rewrites the code-written market read in plainer words and drafts each card's 'In short' line. It may not write a single digit (code fills in every number), and a draft that breaks any rule — no advice, no targets, no claimed certainty, no number or stock it was not given, no rise word next to a fall, no claim that the news explains a move the report says it does not, no more than little weight on the forecast, no figure in words, no claim against the stored price facts — is replaced by the template text.</w:t>
            </w:r>
          </w:p>
        </w:tc>
      </w:tr>
    </w:tbl>
    <w:p>
      <w:pPr>
        <w:spacing w:after="40"/>
      </w:pPr>
      <w:r>
        <w:rPr>
          <w:b w:val="0"/>
          <w:i w:val="0"/>
          <w:color w:val="52514E"/>
          <w:sz w:val="15"/>
        </w:rPr>
        <w:t>AI-written text in this report: the market read and 'In short' lines (stage 4) and the news summaries (stage 2), all checked; every number, table and verdict is computed by code. In the project's documentation the four stages are Tasks 1–4, 5, 6 and 7.</w:t>
      </w:r>
    </w:p>
    <w:p>
      <w:pPr>
        <w:keepNext/>
        <w:spacing w:before="120" w:after="20"/>
      </w:pPr>
      <w:r>
        <w:rPr>
          <w:b/>
          <w:i w:val="0"/>
          <w:color w:val="1A2E55"/>
          <w:sz w:val="21"/>
        </w:rPr>
        <w:t>Today's patterns: how news, price and forecast line up</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1800"/>
        <w:gridCol w:w="3312"/>
        <w:gridCol w:w="4824"/>
      </w:tblGrid>
      <w:tr>
        <w:tc>
          <w:tcPr>
            <w:tcW w:type="dxa" w:w="1800"/>
            <w:shd w:val="clear" w:color="auto" w:fill="1A2E55"/>
          </w:tcPr>
          <w:p>
            <w:r>
              <w:rPr>
                <w:b/>
                <w:i w:val="0"/>
                <w:color w:val="FFFFFF"/>
                <w:sz w:val="14"/>
              </w:rPr>
              <w:t>Pattern</w:t>
            </w:r>
          </w:p>
        </w:tc>
        <w:tc>
          <w:tcPr>
            <w:tcW w:type="dxa" w:w="3312"/>
            <w:shd w:val="clear" w:color="auto" w:fill="1A2E55"/>
          </w:tcPr>
          <w:p>
            <w:r>
              <w:rPr>
                <w:b/>
                <w:i w:val="0"/>
                <w:color w:val="FFFFFF"/>
                <w:sz w:val="14"/>
              </w:rPr>
              <w:t>Stocks today</w:t>
            </w:r>
          </w:p>
        </w:tc>
        <w:tc>
          <w:tcPr>
            <w:tcW w:type="dxa" w:w="4824"/>
            <w:shd w:val="clear" w:color="auto" w:fill="1A2E55"/>
          </w:tcPr>
          <w:p>
            <w:r>
              <w:rPr>
                <w:b/>
                <w:i w:val="0"/>
                <w:color w:val="FFFFFF"/>
                <w:sz w:val="14"/>
              </w:rPr>
              <w:t>Meaning</w:t>
            </w:r>
          </w:p>
        </w:tc>
      </w:tr>
      <w:tr>
        <w:tc>
          <w:tcPr>
            <w:tcW w:type="dxa" w:w="1800"/>
          </w:tcPr>
          <w:p>
            <w:r>
              <w:rPr>
                <w:b/>
                <w:i w:val="0"/>
                <w:sz w:val="15"/>
              </w:rPr>
              <w:t>Quiet (15)</w:t>
            </w:r>
          </w:p>
        </w:tc>
        <w:tc>
          <w:tcPr>
            <w:tcW w:type="dxa" w:w="3312"/>
          </w:tcPr>
          <w:p>
            <w:r>
              <w:rPr>
                <w:b w:val="0"/>
                <w:i w:val="0"/>
                <w:sz w:val="15"/>
              </w:rPr>
              <w:t>DBS Group, OCBC Bank, UOB, CapitaLand Integ. Comm. Trust, Mapletree Pan Asia Comm. Trust, Ascendas REIT, Mapletree Industrial, Singtel, Keppel Corp, ST Engineering, Sembcorp Industries, Wilmar Intl, ComfortDelGro, SGX Group, Raffles Medical Group</w:t>
            </w:r>
          </w:p>
        </w:tc>
        <w:tc>
          <w:tcPr>
            <w:tcW w:type="dxa" w:w="4824"/>
          </w:tcPr>
          <w:p>
            <w:r>
              <w:rPr>
                <w:b w:val="0"/>
                <w:i w:val="0"/>
                <w:sz w:val="15"/>
              </w:rPr>
              <w:t>no directional signal today</w:t>
            </w:r>
          </w:p>
        </w:tc>
      </w:tr>
    </w:tbl>
    <w:p>
      <w:pPr>
        <w:spacing w:after="40"/>
      </w:pPr>
      <w:r>
        <w:rPr>
          <w:b w:val="0"/>
          <w:i w:val="0"/>
          <w:color w:val="52514E"/>
          <w:sz w:val="15"/>
        </w:rPr>
        <w:t>The other patterns in the 11-pattern engine did not occur today; the full set is defined in the final report, Appendix C. The contradiction check rated 0 of 15 readings strongly mixed (named on the cards) and 13 mildly mixed today.</w:t>
      </w:r>
    </w:p>
    <w:p>
      <w:pPr>
        <w:keepNext/>
        <w:pageBreakBefore/>
        <w:spacing w:before="0" w:after="40"/>
        <w:pBdr>
          <w:bottom w:val="single" w:sz="6" w:space="2" w:color="CDE2FB"/>
        </w:pBdr>
      </w:pPr>
      <w:r>
        <w:rPr>
          <w:b/>
          <w:i w:val="0"/>
          <w:color w:val="1A2E55"/>
          <w:sz w:val="26"/>
        </w:rPr>
        <w:t>5 · What three months of testing show</w:t>
      </w:r>
    </w:p>
    <w:p>
      <w:pPr>
        <w:keepNext/>
      </w:pPr>
      <w:r>
        <w:rPr>
          <w:b w:val="0"/>
          <w:i w:val="0"/>
          <w:color w:val="52514E"/>
          <w:sz w:val="17"/>
        </w:rPr>
        <w:t>Each part of the system was tested on the project's stored data before it was allowed into this report. Results across all 15 stocks; forecast records count only outcomes known by the report date, research results are from the whole project: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8" w:type="dxa"/>
          <w:bottom w:w="18" w:type="dxa"/>
          <w:left w:w="50" w:type="dxa"/>
          <w:right w:w="50" w:type="dxa"/>
        </w:tblCellMar>
      </w:tblPr>
      <w:tblGrid>
        <w:gridCol w:w="1872"/>
        <w:gridCol w:w="4536"/>
        <w:gridCol w:w="1368"/>
        <w:gridCol w:w="2160"/>
      </w:tblGrid>
      <w:tr>
        <w:tc>
          <w:tcPr>
            <w:tcW w:type="dxa" w:w="1872"/>
            <w:shd w:val="clear" w:color="auto" w:fill="1A2E55"/>
          </w:tcPr>
          <w:p>
            <w:r>
              <w:rPr>
                <w:b/>
                <w:i w:val="0"/>
                <w:color w:val="FFFFFF"/>
                <w:sz w:val="13"/>
              </w:rPr>
              <w:t>What was tested</w:t>
            </w:r>
          </w:p>
        </w:tc>
        <w:tc>
          <w:tcPr>
            <w:tcW w:type="dxa" w:w="4536"/>
            <w:shd w:val="clear" w:color="auto" w:fill="1A2E55"/>
          </w:tcPr>
          <w:p>
            <w:r>
              <w:rPr>
                <w:b/>
                <w:i w:val="0"/>
                <w:color w:val="FFFFFF"/>
                <w:sz w:val="13"/>
              </w:rPr>
              <w:t>What we found</w:t>
            </w:r>
          </w:p>
        </w:tc>
        <w:tc>
          <w:tcPr>
            <w:tcW w:type="dxa" w:w="1368"/>
            <w:shd w:val="clear" w:color="auto" w:fill="1A2E55"/>
          </w:tcPr>
          <w:p>
            <w:r>
              <w:rPr>
                <w:b/>
                <w:i w:val="0"/>
                <w:color w:val="FFFFFF"/>
                <w:sz w:val="13"/>
              </w:rPr>
              <w:t>Verdict</w:t>
            </w:r>
          </w:p>
        </w:tc>
        <w:tc>
          <w:tcPr>
            <w:tcW w:type="dxa" w:w="2160"/>
            <w:shd w:val="clear" w:color="auto" w:fill="1A2E55"/>
          </w:tcPr>
          <w:p>
            <w:r>
              <w:rPr>
                <w:b/>
                <w:i w:val="0"/>
                <w:color w:val="FFFFFF"/>
                <w:sz w:val="13"/>
              </w:rPr>
              <w:t>What it means for you</w:t>
            </w:r>
          </w:p>
        </w:tc>
      </w:tr>
      <w:tr>
        <w:tc>
          <w:tcPr>
            <w:tcW w:type="dxa" w:w="1872"/>
          </w:tcPr>
          <w:p>
            <w:r>
              <w:rPr>
                <w:b/>
                <w:i w:val="0"/>
                <w:sz w:val="14"/>
              </w:rPr>
              <w:t>Can today's news and signals pick stocks?</w:t>
            </w:r>
          </w:p>
        </w:tc>
        <w:tc>
          <w:tcPr>
            <w:tcW w:type="dxa" w:w="4536"/>
          </w:tcPr>
          <w:p>
            <w:r>
              <w:rPr>
                <w:b w:val="0"/>
                <w:i w:val="0"/>
                <w:sz w:val="14"/>
              </w:rPr>
              <w:t>The ranking did not predict next-day returns against the other stocks (rank correlation -0.02 over 21 days).</w:t>
            </w:r>
          </w:p>
        </w:tc>
        <w:tc>
          <w:tcPr>
            <w:tcW w:type="dxa" w:w="1368"/>
            <w:shd w:val="clear" w:color="auto" w:fill="EFEEEA"/>
          </w:tcPr>
          <w:p>
            <w:r>
              <w:rPr>
                <w:b/>
                <w:i w:val="0"/>
                <w:color w:val="52514E"/>
                <w:sz w:val="14"/>
              </w:rPr>
              <w:t>○  Describes only</w:t>
            </w:r>
          </w:p>
        </w:tc>
        <w:tc>
          <w:tcPr>
            <w:tcW w:type="dxa" w:w="2160"/>
          </w:tcPr>
          <w:p>
            <w:r>
              <w:rPr>
                <w:b w:val="0"/>
                <w:i w:val="0"/>
                <w:sz w:val="14"/>
              </w:rPr>
              <w:t>Use it to understand the day, not to pick stocks</w:t>
            </w:r>
          </w:p>
        </w:tc>
      </w:tr>
      <w:tr>
        <w:tc>
          <w:tcPr>
            <w:tcW w:type="dxa" w:w="1872"/>
            <w:shd w:val="clear" w:color="auto" w:fill="F7F7F5"/>
          </w:tcPr>
          <w:p>
            <w:r>
              <w:rPr>
                <w:b/>
                <w:i w:val="0"/>
                <w:sz w:val="14"/>
              </w:rPr>
              <w:t>Was the news reading balanced?</w:t>
            </w:r>
          </w:p>
        </w:tc>
        <w:tc>
          <w:tcPr>
            <w:tcW w:type="dxa" w:w="4536"/>
            <w:shd w:val="clear" w:color="auto" w:fill="F7F7F5"/>
          </w:tcPr>
          <w:p>
            <w:r>
              <w:rPr>
                <w:b w:val="0"/>
                <w:i w:val="0"/>
                <w:sz w:val="14"/>
              </w:rPr>
              <w:t>An audit found one rule (company-event news) firing on 99.7% of readings, so readings leaned positive. Fixed on 21 Sep: positive readings 56% → 33%, with no loss of information.</w:t>
            </w:r>
          </w:p>
        </w:tc>
        <w:tc>
          <w:tcPr>
            <w:tcW w:type="dxa" w:w="1368"/>
            <w:shd w:val="clear" w:color="auto" w:fill="E4F3E4"/>
          </w:tcPr>
          <w:p>
            <w:r>
              <w:rPr>
                <w:b/>
                <w:i w:val="0"/>
                <w:color w:val="0A6E0A"/>
                <w:sz w:val="14"/>
              </w:rPr>
              <w:t>✓  Found and fixed</w:t>
            </w:r>
          </w:p>
        </w:tc>
        <w:tc>
          <w:tcPr>
            <w:tcW w:type="dxa" w:w="2160"/>
            <w:shd w:val="clear" w:color="auto" w:fill="F7F7F5"/>
          </w:tcPr>
          <w:p>
            <w:r>
              <w:rPr>
                <w:b w:val="0"/>
                <w:i w:val="0"/>
                <w:sz w:val="14"/>
              </w:rPr>
              <w:t>Readings are more balanced; negative ones stay rare</w:t>
            </w:r>
          </w:p>
        </w:tc>
      </w:tr>
      <w:tr>
        <w:tc>
          <w:tcPr>
            <w:tcW w:type="dxa" w:w="1872"/>
          </w:tcPr>
          <w:p>
            <w:r>
              <w:rPr>
                <w:b/>
                <w:i w:val="0"/>
                <w:sz w:val="14"/>
              </w:rPr>
              <w:t>Can the model forecast up or down?</w:t>
            </w:r>
          </w:p>
        </w:tc>
        <w:tc>
          <w:tcPr>
            <w:tcW w:type="dxa" w:w="4536"/>
          </w:tcPr>
          <w:p>
            <w:r>
              <w:rPr>
                <w:b w:val="0"/>
                <w:i w:val="0"/>
                <w:sz w:val="14"/>
              </w:rPr>
              <w:t>Live calls right 40% of 285 vs 53% for always 'no big move'. With honest probabilities, RandomForest, XGBoost and logistic regression all scored 53.3–54.0% vs 53.3%.</w:t>
            </w:r>
          </w:p>
        </w:tc>
        <w:tc>
          <w:tcPr>
            <w:tcW w:type="dxa" w:w="1368"/>
            <w:shd w:val="clear" w:color="auto" w:fill="FBE1E0"/>
          </w:tcPr>
          <w:p>
            <w:r>
              <w:rPr>
                <w:b/>
                <w:i w:val="0"/>
                <w:color w:val="A12D2C"/>
                <w:sz w:val="14"/>
              </w:rPr>
              <w:t>✗  Not reliable</w:t>
            </w:r>
          </w:p>
        </w:tc>
        <w:tc>
          <w:tcPr>
            <w:tcW w:type="dxa" w:w="2160"/>
          </w:tcPr>
          <w:p>
            <w:r>
              <w:rPr>
                <w:b w:val="0"/>
                <w:i w:val="0"/>
                <w:sz w:val="14"/>
              </w:rPr>
              <w:t>Three-day direction is not predictable from these inputs</w:t>
            </w:r>
          </w:p>
        </w:tc>
      </w:tr>
      <w:tr>
        <w:tc>
          <w:tcPr>
            <w:tcW w:type="dxa" w:w="1872"/>
            <w:shd w:val="clear" w:color="auto" w:fill="F7F7F5"/>
          </w:tcPr>
          <w:p>
            <w:r>
              <w:rPr>
                <w:b/>
                <w:i w:val="0"/>
                <w:sz w:val="14"/>
              </w:rPr>
              <w:t>Were its stated chances honest?</w:t>
            </w:r>
          </w:p>
        </w:tc>
        <w:tc>
          <w:tcPr>
            <w:tcW w:type="dxa" w:w="4536"/>
            <w:shd w:val="clear" w:color="auto" w:fill="F7F7F5"/>
          </w:tcPr>
          <w:p>
            <w:r>
              <w:rPr>
                <w:b w:val="0"/>
                <w:i w:val="0"/>
                <w:sz w:val="14"/>
              </w:rPr>
              <w:t>When the live model said 90% or more it was right 38% of the time (125 calls): its calibration had been fitted on its own training rows. Refitted out-of-fold, no model says 90%.</w:t>
            </w:r>
          </w:p>
        </w:tc>
        <w:tc>
          <w:tcPr>
            <w:tcW w:type="dxa" w:w="1368"/>
            <w:shd w:val="clear" w:color="auto" w:fill="FFF1D1"/>
          </w:tcPr>
          <w:p>
            <w:r>
              <w:rPr>
                <w:b/>
                <w:i w:val="0"/>
                <w:color w:val="8A5A00"/>
                <w:sz w:val="14"/>
              </w:rPr>
              <w:t>!  Found and fixed</w:t>
            </w:r>
          </w:p>
        </w:tc>
        <w:tc>
          <w:tcPr>
            <w:tcW w:type="dxa" w:w="2160"/>
            <w:shd w:val="clear" w:color="auto" w:fill="F7F7F5"/>
          </w:tcPr>
          <w:p>
            <w:r>
              <w:rPr>
                <w:b w:val="0"/>
                <w:i w:val="0"/>
                <w:sz w:val="14"/>
              </w:rPr>
              <w:t>Never read a high chance as near-certain</w:t>
            </w:r>
          </w:p>
        </w:tc>
      </w:tr>
      <w:tr>
        <w:tc>
          <w:tcPr>
            <w:tcW w:type="dxa" w:w="1872"/>
          </w:tcPr>
          <w:p>
            <w:r>
              <w:rPr>
                <w:b/>
                <w:i w:val="0"/>
                <w:sz w:val="14"/>
              </w:rPr>
              <w:t>Does marking weak forecasts help?</w:t>
            </w:r>
          </w:p>
        </w:tc>
        <w:tc>
          <w:tcPr>
            <w:tcW w:type="dxa" w:w="4536"/>
          </w:tcPr>
          <w:p>
            <w:r>
              <w:rPr>
                <w:b w:val="0"/>
                <w:i w:val="0"/>
                <w:sz w:val="14"/>
              </w:rPr>
              <w:t>✓ calls right 46%, others 35%; the gain is in 'no big move' calls (58%). ✓ rise-or-fall calls: 22% of 46.</w:t>
            </w:r>
          </w:p>
        </w:tc>
        <w:tc>
          <w:tcPr>
            <w:tcW w:type="dxa" w:w="1368"/>
            <w:shd w:val="clear" w:color="auto" w:fill="FFF1D1"/>
          </w:tcPr>
          <w:p>
            <w:r>
              <w:rPr>
                <w:b/>
                <w:i w:val="0"/>
                <w:color w:val="8A5A00"/>
                <w:sz w:val="14"/>
              </w:rPr>
              <w:t>!  For 'no big move' only</w:t>
            </w:r>
          </w:p>
        </w:tc>
        <w:tc>
          <w:tcPr>
            <w:tcW w:type="dxa" w:w="2160"/>
          </w:tcPr>
          <w:p>
            <w:r>
              <w:rPr>
                <w:b w:val="0"/>
                <w:i w:val="0"/>
                <w:sz w:val="14"/>
              </w:rPr>
              <w:t>Trust ✓ on 'no big move', never on a direction</w:t>
            </w:r>
          </w:p>
        </w:tc>
      </w:tr>
      <w:tr>
        <w:tc>
          <w:tcPr>
            <w:tcW w:type="dxa" w:w="1872"/>
            <w:shd w:val="clear" w:color="auto" w:fill="F7F7F5"/>
          </w:tcPr>
          <w:p>
            <w:r>
              <w:rPr>
                <w:b/>
                <w:i w:val="0"/>
                <w:sz w:val="14"/>
              </w:rPr>
              <w:t>Does switching models weekly help?</w:t>
            </w:r>
          </w:p>
        </w:tc>
        <w:tc>
          <w:tcPr>
            <w:tcW w:type="dxa" w:w="4536"/>
            <w:shd w:val="clear" w:color="auto" w:fill="F7F7F5"/>
          </w:tcPr>
          <w:p>
            <w:r>
              <w:rPr>
                <w:b w:val="0"/>
                <w:i w:val="0"/>
                <w:sz w:val="14"/>
              </w:rPr>
              <w:t>Replaying the weekly champion choice under 15 settings gave 53.8–54.6%: switching added churn, not accuracy.</w:t>
            </w:r>
          </w:p>
        </w:tc>
        <w:tc>
          <w:tcPr>
            <w:tcW w:type="dxa" w:w="1368"/>
            <w:shd w:val="clear" w:color="auto" w:fill="EFEEEA"/>
          </w:tcPr>
          <w:p>
            <w:r>
              <w:rPr>
                <w:b/>
                <w:i w:val="0"/>
                <w:color w:val="52514E"/>
                <w:sz w:val="14"/>
              </w:rPr>
              <w:t>○  No gain</w:t>
            </w:r>
          </w:p>
        </w:tc>
        <w:tc>
          <w:tcPr>
            <w:tcW w:type="dxa" w:w="2160"/>
            <w:shd w:val="clear" w:color="auto" w:fill="F7F7F5"/>
          </w:tcPr>
          <w:p>
            <w:r>
              <w:rPr>
                <w:b w:val="0"/>
                <w:i w:val="0"/>
                <w:sz w:val="14"/>
              </w:rPr>
              <w:t>One model (RandomForest) is kept fixed</w:t>
            </w:r>
          </w:p>
        </w:tc>
      </w:tr>
      <w:tr>
        <w:tc>
          <w:tcPr>
            <w:tcW w:type="dxa" w:w="1872"/>
          </w:tcPr>
          <w:p>
            <w:r>
              <w:rPr>
                <w:b/>
                <w:i w:val="0"/>
                <w:sz w:val="14"/>
              </w:rPr>
              <w:t>How much will a stock move?</w:t>
            </w:r>
          </w:p>
        </w:tc>
        <w:tc>
          <w:tcPr>
            <w:tcW w:type="dxa" w:w="4536"/>
          </w:tcPr>
          <w:p>
            <w:r>
              <w:rPr>
                <w:b w:val="0"/>
                <w:i w:val="0"/>
                <w:sz w:val="14"/>
              </w:rPr>
              <w:t>The normal 3-day swing held 74% of the time (420 tests; about 68% expected).</w:t>
            </w:r>
          </w:p>
        </w:tc>
        <w:tc>
          <w:tcPr>
            <w:tcW w:type="dxa" w:w="1368"/>
            <w:shd w:val="clear" w:color="auto" w:fill="E4F3E4"/>
          </w:tcPr>
          <w:p>
            <w:r>
              <w:rPr>
                <w:b/>
                <w:i w:val="0"/>
                <w:color w:val="0A6E0A"/>
                <w:sz w:val="14"/>
              </w:rPr>
              <w:t>✓  Reliable</w:t>
            </w:r>
          </w:p>
        </w:tc>
        <w:tc>
          <w:tcPr>
            <w:tcW w:type="dxa" w:w="2160"/>
          </w:tcPr>
          <w:p>
            <w:r>
              <w:rPr>
                <w:b w:val="0"/>
                <w:i w:val="0"/>
                <w:sz w:val="14"/>
              </w:rPr>
              <w:t>Judge whether a move is unusual for that stock</w:t>
            </w:r>
          </w:p>
        </w:tc>
      </w:tr>
      <w:tr>
        <w:tc>
          <w:tcPr>
            <w:tcW w:type="dxa" w:w="1872"/>
            <w:shd w:val="clear" w:color="auto" w:fill="F7F7F5"/>
          </w:tcPr>
          <w:p>
            <w:r>
              <w:rPr>
                <w:b/>
                <w:i w:val="0"/>
                <w:sz w:val="14"/>
              </w:rPr>
              <w:t>Which stocks will be calmer?</w:t>
            </w:r>
          </w:p>
        </w:tc>
        <w:tc>
          <w:tcPr>
            <w:tcW w:type="dxa" w:w="4536"/>
            <w:shd w:val="clear" w:color="auto" w:fill="F7F7F5"/>
          </w:tcPr>
          <w:p>
            <w:r>
              <w:rPr>
                <w:b w:val="0"/>
                <w:i w:val="0"/>
                <w:sz w:val="14"/>
              </w:rPr>
              <w:t>The five with the highest chance of no big move moved over 1% about 4 in 10 times, the others about 6 in 10 (31 test days). The rule was set after looking at the data.</w:t>
            </w:r>
          </w:p>
        </w:tc>
        <w:tc>
          <w:tcPr>
            <w:tcW w:type="dxa" w:w="1368"/>
            <w:shd w:val="clear" w:color="auto" w:fill="FFF1D1"/>
          </w:tcPr>
          <w:p>
            <w:r>
              <w:rPr>
                <w:b/>
                <w:i w:val="0"/>
                <w:color w:val="8A5A00"/>
                <w:sz w:val="14"/>
              </w:rPr>
              <w:t>!  Promising</w:t>
            </w:r>
          </w:p>
        </w:tc>
        <w:tc>
          <w:tcPr>
            <w:tcW w:type="dxa" w:w="2160"/>
            <w:shd w:val="clear" w:color="auto" w:fill="F7F7F5"/>
          </w:tcPr>
          <w:p>
            <w:r>
              <w:rPr>
                <w:b w:val="0"/>
                <w:i w:val="0"/>
                <w:sz w:val="14"/>
              </w:rPr>
              <w:t>A hint where less is likely to happen</w:t>
            </w:r>
          </w:p>
        </w:tc>
      </w:tr>
      <w:tr>
        <w:tc>
          <w:tcPr>
            <w:tcW w:type="dxa" w:w="1872"/>
          </w:tcPr>
          <w:p>
            <w:r>
              <w:rPr>
                <w:b/>
                <w:i w:val="0"/>
                <w:sz w:val="14"/>
              </w:rPr>
              <w:t>Does ⚑ mean a bigger move?</w:t>
            </w:r>
          </w:p>
        </w:tc>
        <w:tc>
          <w:tcPr>
            <w:tcW w:type="dxa" w:w="4536"/>
          </w:tcPr>
          <w:p>
            <w:r>
              <w:rPr>
                <w:b w:val="0"/>
                <w:i w:val="0"/>
                <w:sz w:val="14"/>
              </w:rPr>
              <w:t>No. Next 3 days: flagged stocks moved 1.2% on average, the rest 1.3% (17 flags, 18 dates).</w:t>
            </w:r>
          </w:p>
        </w:tc>
        <w:tc>
          <w:tcPr>
            <w:tcW w:type="dxa" w:w="1368"/>
            <w:shd w:val="clear" w:color="auto" w:fill="EFEEEA"/>
          </w:tcPr>
          <w:p>
            <w:r>
              <w:rPr>
                <w:b/>
                <w:i w:val="0"/>
                <w:color w:val="52514E"/>
                <w:sz w:val="14"/>
              </w:rPr>
              <w:t>○  Not a forecast</w:t>
            </w:r>
          </w:p>
        </w:tc>
        <w:tc>
          <w:tcPr>
            <w:tcW w:type="dxa" w:w="2160"/>
          </w:tcPr>
          <w:p>
            <w:r>
              <w:rPr>
                <w:b w:val="0"/>
                <w:i w:val="0"/>
                <w:sz w:val="14"/>
              </w:rPr>
              <w:t>⚑ means read the card first</w:t>
            </w:r>
          </w:p>
        </w:tc>
      </w:tr>
      <w:tr>
        <w:tc>
          <w:tcPr>
            <w:tcW w:type="dxa" w:w="1872"/>
            <w:shd w:val="clear" w:color="auto" w:fill="F7F7F5"/>
          </w:tcPr>
          <w:p>
            <w:r>
              <w:rPr>
                <w:b/>
                <w:i w:val="0"/>
                <w:sz w:val="14"/>
              </w:rPr>
              <w:t>What do seven years of prices say?</w:t>
            </w:r>
          </w:p>
        </w:tc>
        <w:tc>
          <w:tcPr>
            <w:tcW w:type="dxa" w:w="4536"/>
            <w:shd w:val="clear" w:color="auto" w:fill="F7F7F5"/>
          </w:tcPr>
          <w:p>
            <w:r>
              <w:rPr>
                <w:b w:val="0"/>
                <w:i w:val="0"/>
                <w:sz w:val="14"/>
              </w:rPr>
              <w:t>A stock that beat the other 14 on a day tended to lag slightly the next day, 2019-2025 (rank correlation +0.071, t 9.8), but by less than trading costs.</w:t>
            </w:r>
          </w:p>
        </w:tc>
        <w:tc>
          <w:tcPr>
            <w:tcW w:type="dxa" w:w="1368"/>
            <w:shd w:val="clear" w:color="auto" w:fill="EFEEEA"/>
          </w:tcPr>
          <w:p>
            <w:r>
              <w:rPr>
                <w:b/>
                <w:i w:val="0"/>
                <w:color w:val="52514E"/>
                <w:sz w:val="14"/>
              </w:rPr>
              <w:t>○  Real but small</w:t>
            </w:r>
          </w:p>
        </w:tc>
        <w:tc>
          <w:tcPr>
            <w:tcW w:type="dxa" w:w="2160"/>
            <w:shd w:val="clear" w:color="auto" w:fill="F7F7F5"/>
          </w:tcPr>
          <w:p>
            <w:r>
              <w:rPr>
                <w:b w:val="0"/>
                <w:i w:val="0"/>
                <w:sz w:val="14"/>
              </w:rPr>
              <w:t>Do not chase a one-day jump</w:t>
            </w:r>
          </w:p>
        </w:tc>
      </w:tr>
    </w:tbl>
    <w:p>
      <w:pPr>
        <w:keepNext/>
        <w:spacing w:before="120" w:after="20"/>
      </w:pPr>
      <w:r>
        <w:rPr>
          <w:b/>
          <w:i w:val="0"/>
          <w:color w:val="1A2E55"/>
          <w:sz w:val="21"/>
        </w:rPr>
        <w:t>Limitations</w:t>
      </w:r>
    </w:p>
    <w:p>
      <w:pPr>
        <w:pStyle w:val="ListBullet"/>
        <w:spacing w:after="40"/>
      </w:pPr>
      <w:r>
        <w:rPr>
          <w:b w:val="0"/>
          <w:i w:val="0"/>
          <w:sz w:val="15"/>
        </w:rPr>
        <w:t>About three months of data in one market phase: every rate above could change as more data arrives.</w:t>
      </w:r>
    </w:p>
    <w:p>
      <w:pPr>
        <w:pStyle w:val="ListBullet"/>
        <w:spacing w:after="40"/>
      </w:pPr>
      <w:r>
        <w:rPr>
          <w:b w:val="0"/>
          <w:i w:val="0"/>
          <w:sz w:val="15"/>
        </w:rPr>
        <w:t>News readings rarely turn negative: bearish rules fire less often and weigh less. No negative reading means no negative signal was found, not that there was no bad news.</w:t>
      </w:r>
    </w:p>
    <w:p>
      <w:pPr>
        <w:pStyle w:val="ListBullet"/>
        <w:spacing w:after="40"/>
      </w:pPr>
      <w:r>
        <w:rPr>
          <w:b w:val="0"/>
          <w:i w:val="0"/>
          <w:sz w:val="15"/>
        </w:rPr>
        <w:t>Free data: options data is one Singapore stock-market fund shared by all 15 stocks, and news publication times have not been checked against the report's cut-off.</w:t>
      </w:r>
    </w:p>
    <w:p>
      <w:pPr>
        <w:pStyle w:val="ListBullet"/>
        <w:spacing w:after="40"/>
      </w:pPr>
      <w:r>
        <w:rPr>
          <w:b w:val="0"/>
          <w:i w:val="0"/>
          <w:sz w:val="15"/>
        </w:rPr>
        <w:t>One political-news rule fires every day (it reads the classifier's confidence, not the tone), as does its counterweight; the two are summed and marked 'unreliable'.</w:t>
      </w:r>
    </w:p>
    <w:p>
      <w:pPr>
        <w:pStyle w:val="ListBullet"/>
        <w:spacing w:after="40"/>
      </w:pPr>
      <w:r>
        <w:rPr>
          <w:b w:val="0"/>
          <w:i w:val="0"/>
          <w:sz w:val="15"/>
        </w:rPr>
        <w:t>The news search often returns older articles, so only headlines from the last 30 days are shown; some stocks show none on a given day.</w:t>
      </w:r>
    </w:p>
    <w:p>
      <w:pPr>
        <w:keepNext/>
        <w:spacing w:before="120" w:after="20"/>
      </w:pPr>
      <w:r>
        <w:rPr>
          <w:b/>
          <w:i w:val="0"/>
          <w:color w:val="1A2E55"/>
          <w:sz w:val="21"/>
        </w:rPr>
        <w:t>Words used in this report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4" w:type="dxa"/>
          <w:bottom w:w="14" w:type="dxa"/>
          <w:left w:w="50" w:type="dxa"/>
          <w:right w:w="50" w:type="dxa"/>
        </w:tblCellMar>
      </w:tblPr>
      <w:tblGrid>
        <w:gridCol w:w="2160"/>
        <w:gridCol w:w="7776"/>
      </w:tblGrid>
      <w:tr>
        <w:tc>
          <w:tcPr>
            <w:tcW w:type="dxa" w:w="2160"/>
            <w:shd w:val="clear" w:color="auto" w:fill="1A2E55"/>
          </w:tcPr>
          <w:p>
            <w:r>
              <w:rPr>
                <w:b/>
                <w:i w:val="0"/>
                <w:color w:val="FFFFFF"/>
                <w:sz w:val="13"/>
              </w:rPr>
              <w:t>Word</w:t>
            </w:r>
          </w:p>
        </w:tc>
        <w:tc>
          <w:tcPr>
            <w:tcW w:type="dxa" w:w="7776"/>
            <w:shd w:val="clear" w:color="auto" w:fill="1A2E55"/>
          </w:tcPr>
          <w:p>
            <w:r>
              <w:rPr>
                <w:b/>
                <w:i w:val="0"/>
                <w:color w:val="FFFFFF"/>
                <w:sz w:val="13"/>
              </w:rPr>
              <w:t>Meaning</w:t>
            </w:r>
          </w:p>
        </w:tc>
      </w:tr>
      <w:tr>
        <w:tc>
          <w:tcPr>
            <w:tcW w:type="dxa" w:w="2160"/>
          </w:tcPr>
          <w:p>
            <w:r>
              <w:rPr>
                <w:b/>
                <w:i w:val="0"/>
                <w:sz w:val="14"/>
              </w:rPr>
              <w:t>News &amp; signals</w:t>
            </w:r>
          </w:p>
        </w:tc>
        <w:tc>
          <w:tcPr>
            <w:tcW w:type="dxa" w:w="7776"/>
          </w:tcPr>
          <w:p>
            <w:r>
              <w:rPr>
                <w:b w:val="0"/>
                <w:i w:val="0"/>
                <w:sz w:val="14"/>
              </w:rPr>
              <w:t>What today's news and indicators say on top of the price itself: positive, neutral or negative. It describes the day; the forecast is a separate model's job.</w:t>
            </w:r>
          </w:p>
        </w:tc>
      </w:tr>
      <w:tr>
        <w:tc>
          <w:tcPr>
            <w:tcW w:type="dxa" w:w="2160"/>
            <w:shd w:val="clear" w:color="auto" w:fill="F7F7F5"/>
          </w:tcPr>
          <w:p>
            <w:r>
              <w:rPr>
                <w:b/>
                <w:i w:val="0"/>
                <w:sz w:val="14"/>
              </w:rPr>
              <w:t>News today</w:t>
            </w:r>
          </w:p>
        </w:tc>
        <w:tc>
          <w:tcPr>
            <w:tcW w:type="dxa" w:w="7776"/>
            <w:shd w:val="clear" w:color="auto" w:fill="F7F7F5"/>
          </w:tcPr>
          <w:p>
            <w:r>
              <w:rPr>
                <w:b w:val="0"/>
                <w:i w:val="0"/>
                <w:sz w:val="14"/>
              </w:rPr>
              <w:t>The company articles collected on the day, each read as positive, negative or neutral by a finance language model (FinBERT). 'Mostly positive' means clearly more positive than negative articles.</w:t>
            </w:r>
          </w:p>
        </w:tc>
      </w:tr>
      <w:tr>
        <w:tc>
          <w:tcPr>
            <w:tcW w:type="dxa" w:w="2160"/>
          </w:tcPr>
          <w:p>
            <w:r>
              <w:rPr>
                <w:b/>
                <w:i w:val="0"/>
                <w:sz w:val="14"/>
              </w:rPr>
              <w:t>Normal day / big move</w:t>
            </w:r>
          </w:p>
        </w:tc>
        <w:tc>
          <w:tcPr>
            <w:tcW w:type="dxa" w:w="7776"/>
          </w:tcPr>
          <w:p>
            <w:r>
              <w:rPr>
                <w:b w:val="0"/>
                <w:i w:val="0"/>
                <w:sz w:val="14"/>
              </w:rPr>
              <w:t>A normal day: a one-day move within about ±0.6%, treated as the price not reacting. A big move (forecast): a three-day change beyond about ±1%. Both are half a standard deviation of past moves.</w:t>
            </w:r>
          </w:p>
        </w:tc>
      </w:tr>
      <w:tr>
        <w:tc>
          <w:tcPr>
            <w:tcW w:type="dxa" w:w="2160"/>
            <w:shd w:val="clear" w:color="auto" w:fill="F7F7F5"/>
          </w:tcPr>
          <w:p>
            <w:r>
              <w:rPr>
                <w:b/>
                <w:i w:val="0"/>
                <w:sz w:val="14"/>
              </w:rPr>
              <w:t>RSI</w:t>
            </w:r>
          </w:p>
        </w:tc>
        <w:tc>
          <w:tcPr>
            <w:tcW w:type="dxa" w:w="7776"/>
            <w:shd w:val="clear" w:color="auto" w:fill="F7F7F5"/>
          </w:tcPr>
          <w:p>
            <w:r>
              <w:rPr>
                <w:b w:val="0"/>
                <w:i w:val="0"/>
                <w:sz w:val="14"/>
              </w:rPr>
              <w:t>A 0-100 gauge of how fast the price has moved lately. Below 30 'oversold' (fell fast), above 70 'overbought' (rose fast).</w:t>
            </w:r>
          </w:p>
        </w:tc>
      </w:tr>
      <w:tr>
        <w:tc>
          <w:tcPr>
            <w:tcW w:type="dxa" w:w="2160"/>
          </w:tcPr>
          <w:p>
            <w:r>
              <w:rPr>
                <w:b/>
                <w:i w:val="0"/>
                <w:sz w:val="14"/>
              </w:rPr>
              <w:t>Average price (VWAP)</w:t>
            </w:r>
          </w:p>
        </w:tc>
        <w:tc>
          <w:tcPr>
            <w:tcW w:type="dxa" w:w="7776"/>
          </w:tcPr>
          <w:p>
            <w:r>
              <w:rPr>
                <w:b w:val="0"/>
                <w:i w:val="0"/>
                <w:sz w:val="14"/>
              </w:rPr>
              <w:t>The day's average price, weighted by how many shares traded at each price.</w:t>
            </w:r>
          </w:p>
        </w:tc>
      </w:tr>
      <w:tr>
        <w:tc>
          <w:tcPr>
            <w:tcW w:type="dxa" w:w="2160"/>
            <w:shd w:val="clear" w:color="auto" w:fill="F7F7F5"/>
          </w:tcPr>
          <w:p>
            <w:r>
              <w:rPr>
                <w:b/>
                <w:i w:val="0"/>
                <w:sz w:val="14"/>
              </w:rPr>
              <w:t>Usual range (Bollinger band)</w:t>
            </w:r>
          </w:p>
        </w:tc>
        <w:tc>
          <w:tcPr>
            <w:tcW w:type="dxa" w:w="7776"/>
            <w:shd w:val="clear" w:color="auto" w:fill="F7F7F5"/>
          </w:tcPr>
          <w:p>
            <w:r>
              <w:rPr>
                <w:b w:val="0"/>
                <w:i w:val="0"/>
                <w:sz w:val="14"/>
              </w:rPr>
              <w:t>The 20-day average price plus or minus two standard deviations; the price stays inside it on most days, so a close outside it is unusual.</w:t>
            </w:r>
          </w:p>
        </w:tc>
      </w:tr>
      <w:tr>
        <w:tc>
          <w:tcPr>
            <w:tcW w:type="dxa" w:w="2160"/>
          </w:tcPr>
          <w:p>
            <w:r>
              <w:rPr>
                <w:b/>
                <w:i w:val="0"/>
                <w:sz w:val="14"/>
              </w:rPr>
              <w:t>Trend turned (MACD)</w:t>
            </w:r>
          </w:p>
        </w:tc>
        <w:tc>
          <w:tcPr>
            <w:tcW w:type="dxa" w:w="7776"/>
          </w:tcPr>
          <w:p>
            <w:r>
              <w:rPr>
                <w:b w:val="0"/>
                <w:i w:val="0"/>
                <w:sz w:val="14"/>
              </w:rPr>
              <w:t>A short-term price average crossed a longer one.</w:t>
            </w:r>
          </w:p>
        </w:tc>
      </w:tr>
      <w:tr>
        <w:tc>
          <w:tcPr>
            <w:tcW w:type="dxa" w:w="2160"/>
            <w:shd w:val="clear" w:color="auto" w:fill="F7F7F5"/>
          </w:tcPr>
          <w:p>
            <w:r>
              <w:rPr>
                <w:b/>
                <w:i w:val="0"/>
                <w:sz w:val="14"/>
              </w:rPr>
              <w:t>Singapore ETF options</w:t>
            </w:r>
          </w:p>
        </w:tc>
        <w:tc>
          <w:tcPr>
            <w:tcW w:type="dxa" w:w="7776"/>
            <w:shd w:val="clear" w:color="auto" w:fill="F7F7F5"/>
          </w:tcPr>
          <w:p>
            <w:r>
              <w:rPr>
                <w:b w:val="0"/>
                <w:i w:val="0"/>
                <w:sz w:val="14"/>
              </w:rPr>
              <w:t>Bets traders place on a fund that tracks Singapore shares; more 'puts' means more people buying protection against a fall. The same for all 15 stocks.</w:t>
            </w:r>
          </w:p>
        </w:tc>
      </w:tr>
      <w:tr>
        <w:tc>
          <w:tcPr>
            <w:tcW w:type="dxa" w:w="2160"/>
          </w:tcPr>
          <w:p>
            <w:r>
              <w:rPr>
                <w:b/>
                <w:i w:val="0"/>
                <w:sz w:val="14"/>
              </w:rPr>
              <w:t>Normal 3-day swing</w:t>
            </w:r>
          </w:p>
        </w:tc>
        <w:tc>
          <w:tcPr>
            <w:tcW w:type="dxa" w:w="7776"/>
          </w:tcPr>
          <w:p>
            <w:r>
              <w:rPr>
                <w:b w:val="0"/>
                <w:i w:val="0"/>
                <w:sz w:val="14"/>
              </w:rPr>
              <w:t>How far the stock usually moves over three trading days (its recent daily volatility × √3); about 2 times in 3 the move stays inside it. A yardstick for whether a move is unusual.</w:t>
            </w:r>
          </w:p>
        </w:tc>
      </w:tr>
      <w:tr>
        <w:tc>
          <w:tcPr>
            <w:tcW w:type="dxa" w:w="2160"/>
            <w:shd w:val="clear" w:color="auto" w:fill="F7F7F5"/>
          </w:tcPr>
          <w:p>
            <w:r>
              <w:rPr>
                <w:b/>
                <w:i w:val="0"/>
                <w:sz w:val="14"/>
              </w:rPr>
              <w:t>Calmer than most</w:t>
            </w:r>
          </w:p>
        </w:tc>
        <w:tc>
          <w:tcPr>
            <w:tcW w:type="dxa" w:w="7776"/>
            <w:shd w:val="clear" w:color="auto" w:fill="F7F7F5"/>
          </w:tcPr>
          <w:p>
            <w:r>
              <w:rPr>
                <w:b w:val="0"/>
                <w:i w:val="0"/>
                <w:sz w:val="14"/>
              </w:rPr>
              <w:t>The five stocks with the highest chance of no big move in the forecast model's probabilities for the day.</w:t>
            </w:r>
          </w:p>
        </w:tc>
      </w:tr>
      <w:tr>
        <w:tc>
          <w:tcPr>
            <w:tcW w:type="dxa" w:w="2160"/>
          </w:tcPr>
          <w:p>
            <w:r>
              <w:rPr>
                <w:b/>
                <w:i w:val="0"/>
                <w:sz w:val="14"/>
              </w:rPr>
              <w:t>Forecast lean</w:t>
            </w:r>
          </w:p>
        </w:tc>
        <w:tc>
          <w:tcPr>
            <w:tcW w:type="dxa" w:w="7776"/>
          </w:tcPr>
          <w:p>
            <w:r>
              <w:rPr>
                <w:b w:val="0"/>
                <w:i w:val="0"/>
                <w:sz w:val="14"/>
              </w:rPr>
              <w:t>The forecast model's most likely outcome over the next three trading days: rise, fall or no big move, with the probability it gave. Probabilities are calibrated out-of-fold, so 50% means about half come true.</w:t>
            </w:r>
          </w:p>
        </w:tc>
      </w:tr>
      <w:tr>
        <w:tc>
          <w:tcPr>
            <w:tcW w:type="dxa" w:w="2160"/>
            <w:shd w:val="clear" w:color="auto" w:fill="F7F7F5"/>
          </w:tcPr>
          <w:p>
            <w:r>
              <w:rPr>
                <w:b/>
                <w:i w:val="0"/>
                <w:sz w:val="14"/>
              </w:rPr>
              <w:t>★  ⚑  ✓  ✗</w:t>
            </w:r>
          </w:p>
        </w:tc>
        <w:tc>
          <w:tcPr>
            <w:tcW w:type="dxa" w:w="7776"/>
            <w:shd w:val="clear" w:color="auto" w:fill="F7F7F5"/>
          </w:tcPr>
          <w:p>
            <w:r>
              <w:rPr>
                <w:b w:val="0"/>
                <w:i w:val="0"/>
                <w:sz w:val="14"/>
              </w:rPr>
              <w:t>★ more company-event news than usual. ⚑ worth a closer look: the price went against the news, or the news is silent while the model leans one way, and the model has a usable record on this stock. ✓ / ✗ the model's record on that stock is about as good as or better than / worse than always guessing its most common past outcome.</w:t>
            </w:r>
          </w:p>
        </w:tc>
      </w:tr>
    </w:tbl>
    <w:p>
      <w:pPr>
        <w:spacing w:after="40"/>
      </w:pPr>
      <w:r>
        <w:rPr>
          <w:b w:val="0"/>
          <w:i/>
          <w:color w:val="52514E"/>
          <w:sz w:val="14"/>
        </w:rPr>
        <w:t>General information about 15 listed companies, generated automatically from stored data. It is not financial advice or a recommendation to deal in any security, and it takes no account of your circumstances. Past patterns do not guarantee future results.</w:t>
      </w:r>
    </w:p>
    <w:sectPr w:rsidR="00FC693F" w:rsidRPr="0006063C" w:rsidSect="00034616">
      <w:footerReference w:type="default" r:id="rId9"/>
      <w:pgSz w:w="11906" w:h="16838"/>
      <w:pgMar w:top="850" w:right="1020"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898781"/>
        <w:sz w:val="15"/>
      </w:rPr>
      <w:t xml:space="preserve">SGX Daily Signal Report  ·  30 Oct 2026  ·  general information, not financial advice   ·   page </w:t>
    </w:r>
    <w:r>
      <w:rPr>
        <w:color w:val="898781"/>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