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90" w:type="dxa"/>
          <w:bottom w:w="90" w:type="dxa"/>
          <w:left w:w="140" w:type="dxa"/>
          <w:right w:w="140" w:type="dxa"/>
        </w:tblCellMar>
      </w:tblPr>
      <w:tblGrid>
        <w:gridCol w:w="5760"/>
        <w:gridCol w:w="4176"/>
      </w:tblGrid>
      <w:tr>
        <w:tc>
          <w:tcPr>
            <w:tcW w:type="dxa" w:w="5760"/>
            <w:shd w:val="clear" w:color="auto" w:fill="1A2E55"/>
          </w:tcPr>
          <w:p>
            <w:r>
              <w:rPr>
                <w:b/>
                <w:i w:val="0"/>
                <w:color w:val="FFFFFF"/>
                <w:sz w:val="38"/>
              </w:rPr>
              <w:t>SGX Daily Signal Report</w:t>
            </w:r>
          </w:p>
          <w:p>
            <w:r>
              <w:rPr>
                <w:b w:val="0"/>
                <w:i w:val="0"/>
                <w:color w:val="CDE2FB"/>
                <w:sz w:val="19"/>
              </w:rPr>
              <w:t>Monday 17 August 2026  ·  data to the close</w:t>
            </w:r>
          </w:p>
        </w:tc>
        <w:tc>
          <w:tcPr>
            <w:tcW w:type="dxa" w:w="4176"/>
            <w:shd w:val="clear" w:color="auto" w:fill="1A2E55"/>
          </w:tcPr>
          <w:p>
            <w:pPr>
              <w:jc w:val="right"/>
            </w:pPr>
            <w:r>
              <w:rPr>
                <w:b/>
                <w:i w:val="0"/>
                <w:color w:val="FFFFFF"/>
                <w:sz w:val="17"/>
              </w:rPr>
              <w:t>15 SGX stocks  ·  7 sectors</w:t>
            </w:r>
          </w:p>
          <w:p>
            <w:pPr>
              <w:jc w:val="right"/>
            </w:pPr>
            <w:r>
              <w:rPr>
                <w:b w:val="0"/>
                <w:i w:val="0"/>
                <w:color w:val="CDE2FB"/>
                <w:sz w:val="17"/>
              </w:rPr>
              <w:t>Last 5 trading days: 11–17 Aug</w:t>
            </w:r>
          </w:p>
          <w:p>
            <w:pPr>
              <w:jc w:val="right"/>
            </w:pPr>
            <w:r>
              <w:rPr>
                <w:b w:val="0"/>
                <w:i w:val="0"/>
                <w:color w:val="CDE2FB"/>
                <w:sz w:val="17"/>
              </w:rPr>
              <w:t>Sections: 1 today · 2 news &amp; last 5 days · 3 next 3 days · 4 system · 5 findings</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1 · Today in 30 seconds</w:t>
      </w:r>
    </w:p>
    <w:p>
      <w:pPr>
        <w:pStyle w:val="ListBullet"/>
        <w:spacing w:after="40"/>
      </w:pPr>
      <w:r>
        <w:rPr>
          <w:b w:val="0"/>
          <w:i w:val="0"/>
          <w:sz w:val="19"/>
        </w:rPr>
        <w:t>Today the 15 stocks moved +0.6% on average, with 10 rising and 2 falling; over 11–17 Aug they moved +1.5%. The weakest sectors were Consumer Goods (-2.3%), REIT (-1.0%) and Healthcare (+0.0%), while Industrials (+6.3%) and Financial Services (+4.0%) were the strongest.</w:t>
      </w:r>
    </w:p>
    <w:p>
      <w:pPr>
        <w:pStyle w:val="ListBullet"/>
        <w:spacing w:after="40"/>
      </w:pPr>
      <w:r>
        <w:rPr>
          <w:b w:val="0"/>
          <w:i w:val="0"/>
          <w:sz w:val="19"/>
        </w:rPr>
        <w:t>The biggest movers over 11–17 Aug were ST Engineering (+7.8%), Wilmar Intl (-6.9%) and Sembcorp Industries (+6.6%). For Sembcorp Industries, the news and the price do not agree, whereas for ST Engineering and Wilmar Intl they point the same way. See section 2.</w:t>
      </w:r>
    </w:p>
    <w:p>
      <w:pPr>
        <w:pStyle w:val="ListBullet"/>
        <w:spacing w:after="40"/>
      </w:pPr>
      <w:r>
        <w:rPr>
          <w:b w:val="0"/>
          <w:i w:val="0"/>
          <w:sz w:val="19"/>
        </w:rPr>
        <w:t>The market backdrop was calm with VIX at 14.9, and Singapore ETF options were neutral, with a put/call ratio of 0.92.</w:t>
      </w:r>
    </w:p>
    <w:p>
      <w:pPr>
        <w:pStyle w:val="ListBullet"/>
        <w:spacing w:after="40"/>
      </w:pPr>
      <w:r>
        <w:rPr>
          <w:b w:val="0"/>
          <w:i w:val="0"/>
          <w:sz w:val="19"/>
        </w:rPr>
        <w:t>Today’s news added a positive signal for ST Engineering (already reflected in the price), SGX Group (already reflected), CapitaLand Integ. Comm. Trust (not yet reflected), Ascendas REIT (not yet reflected) and eight other stocks. See section 2.</w:t>
      </w:r>
    </w:p>
    <w:p>
      <w:pPr>
        <w:pStyle w:val="ListBullet"/>
        <w:spacing w:after="40"/>
      </w:pPr>
      <w:r>
        <w:rPr>
          <w:b w:val="0"/>
          <w:i w:val="0"/>
          <w:sz w:val="19"/>
        </w:rPr>
        <w:t>The forecast model suggests a rise for UOB, Mapletree Pan Asia Comm. Trust and Wilmar Intl, a fall for four stocks, and no big move for the remaining seven (all with a ✓ record). Typical three-day swings range from ±0.7% at Mapletree Industrial to ±3.4% at ST Engineering, so a larger move would be uncommon. See section 3.</w:t>
      </w:r>
    </w:p>
    <w:p>
      <w:pPr>
        <w:pStyle w:val="ListBullet"/>
        <w:spacing w:after="40"/>
      </w:pPr>
      <w:r>
        <w:rPr>
          <w:b w:val="0"/>
          <w:i w:val="0"/>
          <w:sz w:val="19"/>
        </w:rPr>
        <w:t>No stock was flagged today. If you prefer less day-to-day movement, Mapletree Industrial, DBS Group, Raffles Medical Group, CapitaLand Integ. Comm. Trust and SGX Group have the highest chance of no big move.</w:t>
      </w:r>
    </w:p>
    <w:p>
      <w:pPr>
        <w:spacing w:after="40"/>
      </w:pPr>
      <w:r>
        <w:rPr>
          <w:b w:val="0"/>
          <w:i w:val="0"/>
          <w:color w:val="52514E"/>
          <w:sz w:val="14"/>
        </w:rPr>
        <w:t>Drafted by code from the day's data and analysis; the AI writer (openai/gpt-oss-20b, the same model that writes the news summaries) reworded 6 of 6 lines; every number was filled in by code and the text passed the report's checks.</w:t>
      </w:r>
    </w:p>
    <w:p>
      <w:pPr>
        <w:spacing w:after="40"/>
      </w:pPr>
      <w:r>
        <w:rPr>
          <w:b w:val="0"/>
          <w:i w:val="0"/>
          <w:color w:val="1A2E55"/>
          <w:sz w:val="16"/>
        </w:rPr>
        <w:t>Which parts can you rely on? Each kind of statement was tested on past data (results in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80" w:type="dxa"/>
          <w:right w:w="80" w:type="dxa"/>
        </w:tblCellMar>
      </w:tblPr>
      <w:tblGrid>
        <w:gridCol w:w="1987"/>
        <w:gridCol w:w="1987"/>
        <w:gridCol w:w="1987"/>
        <w:gridCol w:w="1987"/>
        <w:gridCol w:w="1987"/>
      </w:tblGrid>
      <w:tr>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Prices and changes: fact (sections 1-2)</w:t>
            </w:r>
          </w:p>
        </w:tc>
        <w:tc>
          <w:tcPr>
            <w:tcW w:type="dxa" w:w="1987"/>
            <w:shd w:val="clear" w:color="auto" w:fill="EFEEEA"/>
            <w:tcBorders>
              <w:left w:val="single" w:sz="6" w:color="FFFFFF"/>
              <w:right w:val="single" w:sz="6" w:color="FFFFFF"/>
            </w:tcBorders>
          </w:tcPr>
          <w:p>
            <w:r>
              <w:rPr>
                <w:b/>
                <w:i w:val="0"/>
                <w:color w:val="52514E"/>
                <w:sz w:val="16"/>
              </w:rPr>
              <w:t xml:space="preserve">○  </w:t>
            </w:r>
            <w:r>
              <w:rPr>
                <w:b w:val="0"/>
                <w:i w:val="0"/>
                <w:color w:val="52514E"/>
                <w:sz w:val="14"/>
              </w:rPr>
              <w:t>News &amp; signals: describe today, not a forecast (sections 1-2)</w:t>
            </w:r>
          </w:p>
        </w:tc>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Normal 3-day swing: reliable, held 74 times in 100 (section 3)</w:t>
            </w:r>
          </w:p>
        </w:tc>
        <w:tc>
          <w:tcPr>
            <w:tcW w:type="dxa" w:w="1987"/>
            <w:shd w:val="clear" w:color="auto" w:fill="FFF1D1"/>
            <w:tcBorders>
              <w:left w:val="single" w:sz="6" w:color="FFFFFF"/>
              <w:right w:val="single" w:sz="6" w:color="FFFFFF"/>
            </w:tcBorders>
          </w:tcPr>
          <w:p>
            <w:r>
              <w:rPr>
                <w:b/>
                <w:i w:val="0"/>
                <w:color w:val="8A5A00"/>
                <w:sz w:val="16"/>
              </w:rPr>
              <w:t xml:space="preserve">!  </w:t>
            </w:r>
            <w:r>
              <w:rPr>
                <w:b w:val="0"/>
                <w:i w:val="0"/>
                <w:color w:val="8A5A00"/>
                <w:sz w:val="14"/>
              </w:rPr>
              <w:t>Calmer than most: promising, still being confirmed (section 3)</w:t>
            </w:r>
          </w:p>
        </w:tc>
        <w:tc>
          <w:tcPr>
            <w:tcW w:type="dxa" w:w="1987"/>
            <w:shd w:val="clear" w:color="auto" w:fill="FBE1E0"/>
            <w:tcBorders>
              <w:left w:val="single" w:sz="6" w:color="FFFFFF"/>
              <w:right w:val="single" w:sz="6" w:color="FFFFFF"/>
            </w:tcBorders>
          </w:tcPr>
          <w:p>
            <w:r>
              <w:rPr>
                <w:b/>
                <w:i w:val="0"/>
                <w:color w:val="A12D2C"/>
                <w:sz w:val="16"/>
              </w:rPr>
              <w:t xml:space="preserve">✗  </w:t>
            </w:r>
            <w:r>
              <w:rPr>
                <w:b w:val="0"/>
                <w:i w:val="0"/>
                <w:color w:val="A12D2C"/>
                <w:sz w:val="14"/>
              </w:rPr>
              <w:t>Up-or-down lean: not reliable, even with ✓ (section 3)</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All 15 stocks today</w:t>
      </w:r>
    </w:p>
    <w:p>
      <w:pPr>
        <w:spacing w:after="40"/>
      </w:pPr>
      <w:r>
        <w:rPr>
          <w:b w:val="0"/>
          <w:i w:val="0"/>
          <w:color w:val="52514E"/>
          <w:sz w:val="17"/>
        </w:rPr>
        <w:t>Ranked by today's news-and-signals reading, most positive first. Market-wide today: calm market, VIX below 15; this applies to all 15 and is not repeated below.</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2" w:type="dxa"/>
          <w:bottom w:w="22" w:type="dxa"/>
          <w:left w:w="60" w:type="dxa"/>
          <w:right w:w="60" w:type="dxa"/>
        </w:tblCellMar>
      </w:tblPr>
      <w:tblGrid>
        <w:gridCol w:w="360"/>
        <w:gridCol w:w="2189"/>
        <w:gridCol w:w="662"/>
        <w:gridCol w:w="792"/>
        <w:gridCol w:w="1037"/>
        <w:gridCol w:w="1382"/>
        <w:gridCol w:w="1872"/>
        <w:gridCol w:w="1642"/>
      </w:tblGrid>
      <w:tr>
        <w:tc>
          <w:tcPr>
            <w:tcW w:type="dxa" w:w="360"/>
            <w:shd w:val="clear" w:color="auto" w:fill="1A2E55"/>
          </w:tcPr>
          <w:p>
            <w:r>
              <w:rPr>
                <w:b/>
                <w:i w:val="0"/>
                <w:color w:val="FFFFFF"/>
                <w:sz w:val="14"/>
              </w:rPr>
              <w:t>#</w:t>
            </w:r>
          </w:p>
        </w:tc>
        <w:tc>
          <w:tcPr>
            <w:tcW w:type="dxa" w:w="2189"/>
            <w:shd w:val="clear" w:color="auto" w:fill="1A2E55"/>
          </w:tcPr>
          <w:p>
            <w:r>
              <w:rPr>
                <w:b/>
                <w:i w:val="0"/>
                <w:color w:val="FFFFFF"/>
                <w:sz w:val="14"/>
              </w:rPr>
              <w:t>Stock</w:t>
            </w:r>
          </w:p>
        </w:tc>
        <w:tc>
          <w:tcPr>
            <w:tcW w:type="dxa" w:w="662"/>
            <w:shd w:val="clear" w:color="auto" w:fill="1A2E55"/>
          </w:tcPr>
          <w:p>
            <w:pPr>
              <w:jc w:val="right"/>
            </w:pPr>
            <w:r>
              <w:rPr>
                <w:b/>
                <w:i w:val="0"/>
                <w:color w:val="FFFFFF"/>
                <w:sz w:val="14"/>
              </w:rPr>
              <w:t>Today</w:t>
            </w:r>
          </w:p>
        </w:tc>
        <w:tc>
          <w:tcPr>
            <w:tcW w:type="dxa" w:w="792"/>
            <w:shd w:val="clear" w:color="auto" w:fill="1A2E55"/>
          </w:tcPr>
          <w:p>
            <w:pPr>
              <w:jc w:val="right"/>
            </w:pPr>
            <w:r>
              <w:rPr>
                <w:b/>
                <w:i w:val="0"/>
                <w:color w:val="FFFFFF"/>
                <w:sz w:val="14"/>
              </w:rPr>
              <w:t>11–17 Aug</w:t>
            </w:r>
          </w:p>
        </w:tc>
        <w:tc>
          <w:tcPr>
            <w:tcW w:type="dxa" w:w="1037"/>
            <w:shd w:val="clear" w:color="auto" w:fill="1A2E55"/>
          </w:tcPr>
          <w:p>
            <w:r>
              <w:rPr>
                <w:b/>
                <w:i w:val="0"/>
                <w:color w:val="FFFFFF"/>
                <w:sz w:val="14"/>
              </w:rPr>
              <w:t>News &amp; signals</w:t>
            </w:r>
          </w:p>
        </w:tc>
        <w:tc>
          <w:tcPr>
            <w:tcW w:type="dxa" w:w="1382"/>
            <w:shd w:val="clear" w:color="auto" w:fill="1A2E55"/>
          </w:tcPr>
          <w:p>
            <w:r>
              <w:rPr>
                <w:b/>
                <w:i w:val="0"/>
                <w:color w:val="FFFFFF"/>
                <w:sz w:val="14"/>
              </w:rPr>
              <w:t>News today</w:t>
            </w:r>
          </w:p>
        </w:tc>
        <w:tc>
          <w:tcPr>
            <w:tcW w:type="dxa" w:w="1872"/>
            <w:shd w:val="clear" w:color="auto" w:fill="1A2E55"/>
          </w:tcPr>
          <w:p>
            <w:r>
              <w:rPr>
                <w:b/>
                <w:i w:val="0"/>
                <w:color w:val="FFFFFF"/>
                <w:sz w:val="14"/>
              </w:rPr>
              <w:t>Price chart</w:t>
            </w:r>
          </w:p>
        </w:tc>
        <w:tc>
          <w:tcPr>
            <w:tcW w:type="dxa" w:w="1642"/>
            <w:shd w:val="clear" w:color="auto" w:fill="1A2E55"/>
          </w:tcPr>
          <w:p>
            <w:r>
              <w:rPr>
                <w:b/>
                <w:i w:val="0"/>
                <w:color w:val="FFFFFF"/>
                <w:sz w:val="14"/>
              </w:rPr>
              <w:t>Price vs news</w:t>
            </w:r>
          </w:p>
        </w:tc>
      </w:tr>
      <w:tr>
        <w:tc>
          <w:tcPr>
            <w:tcW w:type="dxa" w:w="360"/>
          </w:tcPr>
          <w:p>
            <w:r>
              <w:rPr>
                <w:b w:val="0"/>
                <w:i w:val="0"/>
                <w:sz w:val="15"/>
              </w:rPr>
              <w:t>1</w:t>
            </w:r>
          </w:p>
        </w:tc>
        <w:tc>
          <w:tcPr>
            <w:tcW w:type="dxa" w:w="2189"/>
          </w:tcPr>
          <w:p>
            <w:r>
              <w:rPr>
                <w:b w:val="0"/>
                <w:i w:val="0"/>
                <w:sz w:val="15"/>
              </w:rPr>
              <w:t>ST Engineering ★</w:t>
            </w:r>
          </w:p>
        </w:tc>
        <w:tc>
          <w:tcPr>
            <w:tcW w:type="dxa" w:w="662"/>
          </w:tcPr>
          <w:p>
            <w:pPr>
              <w:jc w:val="right"/>
            </w:pPr>
            <w:r>
              <w:rPr>
                <w:b w:val="0"/>
                <w:i w:val="0"/>
                <w:color w:val="1C5CAB"/>
                <w:sz w:val="15"/>
              </w:rPr>
              <w:t>+1.6%</w:t>
            </w:r>
          </w:p>
        </w:tc>
        <w:tc>
          <w:tcPr>
            <w:tcW w:type="dxa" w:w="792"/>
          </w:tcPr>
          <w:p>
            <w:pPr>
              <w:jc w:val="right"/>
            </w:pPr>
            <w:r>
              <w:rPr>
                <w:b w:val="0"/>
                <w:i w:val="0"/>
                <w:color w:val="1C5CAB"/>
                <w:sz w:val="15"/>
              </w:rPr>
              <w:t>+7.8%</w:t>
            </w:r>
          </w:p>
        </w:tc>
        <w:tc>
          <w:tcPr>
            <w:tcW w:type="dxa" w:w="1037"/>
            <w:shd w:val="clear" w:color="auto" w:fill="DCEAFB"/>
          </w:tcPr>
          <w:p>
            <w:r>
              <w:rPr>
                <w:b/>
                <w:i w:val="0"/>
                <w:color w:val="1C5CAB"/>
                <w:sz w:val="15"/>
              </w:rPr>
              <w:t>Positive</w:t>
            </w:r>
          </w:p>
        </w:tc>
        <w:tc>
          <w:tcPr>
            <w:tcW w:type="dxa" w:w="1382"/>
          </w:tcPr>
          <w:p>
            <w:r>
              <w:rPr>
                <w:b w:val="0"/>
                <w:i w:val="0"/>
                <w:sz w:val="15"/>
              </w:rPr>
              <w:t>Mostly positive (45)</w:t>
            </w:r>
          </w:p>
        </w:tc>
        <w:tc>
          <w:tcPr>
            <w:tcW w:type="dxa" w:w="1872"/>
          </w:tcPr>
          <w:p>
            <w:r>
              <w:rPr>
                <w:b w:val="0"/>
                <w:i w:val="0"/>
                <w:sz w:val="15"/>
              </w:rPr>
              <w:t>Above range · Above avg price</w:t>
            </w:r>
          </w:p>
        </w:tc>
        <w:tc>
          <w:tcPr>
            <w:tcW w:type="dxa" w:w="1642"/>
          </w:tcPr>
          <w:p>
            <w:r>
              <w:rPr>
                <w:b w:val="0"/>
                <w:i w:val="0"/>
                <w:sz w:val="15"/>
              </w:rPr>
              <w:t>Price agreed</w:t>
            </w:r>
          </w:p>
        </w:tc>
      </w:tr>
      <w:tr>
        <w:tc>
          <w:tcPr>
            <w:tcW w:type="dxa" w:w="360"/>
            <w:shd w:val="clear" w:color="auto" w:fill="F7F7F5"/>
          </w:tcPr>
          <w:p>
            <w:r>
              <w:rPr>
                <w:b w:val="0"/>
                <w:i w:val="0"/>
                <w:sz w:val="15"/>
              </w:rPr>
              <w:t>2</w:t>
            </w:r>
          </w:p>
        </w:tc>
        <w:tc>
          <w:tcPr>
            <w:tcW w:type="dxa" w:w="2189"/>
            <w:shd w:val="clear" w:color="auto" w:fill="F7F7F5"/>
          </w:tcPr>
          <w:p>
            <w:r>
              <w:rPr>
                <w:b w:val="0"/>
                <w:i w:val="0"/>
                <w:sz w:val="15"/>
              </w:rPr>
              <w:t>SGX Group ★</w:t>
            </w:r>
          </w:p>
        </w:tc>
        <w:tc>
          <w:tcPr>
            <w:tcW w:type="dxa" w:w="662"/>
            <w:shd w:val="clear" w:color="auto" w:fill="F7F7F5"/>
          </w:tcPr>
          <w:p>
            <w:pPr>
              <w:jc w:val="right"/>
            </w:pPr>
            <w:r>
              <w:rPr>
                <w:b w:val="0"/>
                <w:i w:val="0"/>
                <w:color w:val="1C5CAB"/>
                <w:sz w:val="15"/>
              </w:rPr>
              <w:t>+1.0%</w:t>
            </w:r>
          </w:p>
        </w:tc>
        <w:tc>
          <w:tcPr>
            <w:tcW w:type="dxa" w:w="792"/>
            <w:shd w:val="clear" w:color="auto" w:fill="F7F7F5"/>
          </w:tcPr>
          <w:p>
            <w:pPr>
              <w:jc w:val="right"/>
            </w:pPr>
            <w:r>
              <w:rPr>
                <w:b w:val="0"/>
                <w:i w:val="0"/>
                <w:color w:val="1C5CAB"/>
                <w:sz w:val="15"/>
              </w:rPr>
              <w:t>+4.0%</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(50)</w:t>
            </w:r>
          </w:p>
        </w:tc>
        <w:tc>
          <w:tcPr>
            <w:tcW w:type="dxa" w:w="1872"/>
            <w:shd w:val="clear" w:color="auto" w:fill="F7F7F5"/>
          </w:tcPr>
          <w:p>
            <w:r>
              <w:rPr>
                <w:b w:val="0"/>
                <w:i w:val="0"/>
                <w:sz w:val="15"/>
              </w:rPr>
              <w:t>Overbought · Above range · Weekly up · Above avg price</w:t>
            </w:r>
          </w:p>
        </w:tc>
        <w:tc>
          <w:tcPr>
            <w:tcW w:type="dxa" w:w="1642"/>
            <w:shd w:val="clear" w:color="auto" w:fill="F7F7F5"/>
          </w:tcPr>
          <w:p>
            <w:r>
              <w:rPr>
                <w:b w:val="0"/>
                <w:i w:val="0"/>
                <w:sz w:val="15"/>
              </w:rPr>
              <w:t>Price agreed</w:t>
            </w:r>
          </w:p>
        </w:tc>
      </w:tr>
      <w:tr>
        <w:tc>
          <w:tcPr>
            <w:tcW w:type="dxa" w:w="360"/>
          </w:tcPr>
          <w:p>
            <w:r>
              <w:rPr>
                <w:b w:val="0"/>
                <w:i w:val="0"/>
                <w:sz w:val="15"/>
              </w:rPr>
              <w:t>3</w:t>
            </w:r>
          </w:p>
        </w:tc>
        <w:tc>
          <w:tcPr>
            <w:tcW w:type="dxa" w:w="2189"/>
          </w:tcPr>
          <w:p>
            <w:r>
              <w:rPr>
                <w:b w:val="0"/>
                <w:i w:val="0"/>
                <w:sz w:val="15"/>
              </w:rPr>
              <w:t>CapitaLand Integ. Comm. Trust ★</w:t>
            </w:r>
          </w:p>
        </w:tc>
        <w:tc>
          <w:tcPr>
            <w:tcW w:type="dxa" w:w="662"/>
          </w:tcPr>
          <w:p>
            <w:pPr>
              <w:jc w:val="right"/>
            </w:pPr>
            <w:r>
              <w:rPr>
                <w:b w:val="0"/>
                <w:i w:val="0"/>
                <w:color w:val="52514E"/>
                <w:sz w:val="15"/>
              </w:rPr>
              <w:t>+0.0%</w:t>
            </w:r>
          </w:p>
        </w:tc>
        <w:tc>
          <w:tcPr>
            <w:tcW w:type="dxa" w:w="792"/>
          </w:tcPr>
          <w:p>
            <w:pPr>
              <w:jc w:val="right"/>
            </w:pPr>
            <w:r>
              <w:rPr>
                <w:b w:val="0"/>
                <w:i w:val="0"/>
                <w:color w:val="A12D2C"/>
                <w:sz w:val="15"/>
              </w:rPr>
              <w:t>-1.2%</w:t>
            </w:r>
          </w:p>
        </w:tc>
        <w:tc>
          <w:tcPr>
            <w:tcW w:type="dxa" w:w="1037"/>
            <w:shd w:val="clear" w:color="auto" w:fill="DCEAFB"/>
          </w:tcPr>
          <w:p>
            <w:r>
              <w:rPr>
                <w:b/>
                <w:i w:val="0"/>
                <w:color w:val="1C5CAB"/>
                <w:sz w:val="15"/>
              </w:rPr>
              <w:t>Positive</w:t>
            </w:r>
          </w:p>
        </w:tc>
        <w:tc>
          <w:tcPr>
            <w:tcW w:type="dxa" w:w="1382"/>
          </w:tcPr>
          <w:p>
            <w:r>
              <w:rPr>
                <w:b w:val="0"/>
                <w:i w:val="0"/>
                <w:sz w:val="15"/>
              </w:rPr>
              <w:t>Mostly positive (30)</w:t>
            </w:r>
          </w:p>
        </w:tc>
        <w:tc>
          <w:tcPr>
            <w:tcW w:type="dxa" w:w="1872"/>
          </w:tcPr>
          <w:p>
            <w:r>
              <w:rPr>
                <w:b w:val="0"/>
                <w:i w:val="0"/>
                <w:sz w:val="15"/>
              </w:rPr>
              <w:t>Above avg price</w:t>
            </w:r>
          </w:p>
        </w:tc>
        <w:tc>
          <w:tcPr>
            <w:tcW w:type="dxa" w:w="1642"/>
          </w:tcPr>
          <w:p>
            <w:r>
              <w:rPr>
                <w:b w:val="0"/>
                <w:i w:val="0"/>
                <w:sz w:val="15"/>
              </w:rPr>
              <w:t>Not yet in the price</w:t>
            </w:r>
          </w:p>
        </w:tc>
      </w:tr>
      <w:tr>
        <w:tc>
          <w:tcPr>
            <w:tcW w:type="dxa" w:w="360"/>
            <w:shd w:val="clear" w:color="auto" w:fill="F7F7F5"/>
          </w:tcPr>
          <w:p>
            <w:r>
              <w:rPr>
                <w:b w:val="0"/>
                <w:i w:val="0"/>
                <w:sz w:val="15"/>
              </w:rPr>
              <w:t>4</w:t>
            </w:r>
          </w:p>
        </w:tc>
        <w:tc>
          <w:tcPr>
            <w:tcW w:type="dxa" w:w="2189"/>
            <w:shd w:val="clear" w:color="auto" w:fill="F7F7F5"/>
          </w:tcPr>
          <w:p>
            <w:r>
              <w:rPr>
                <w:b w:val="0"/>
                <w:i w:val="0"/>
                <w:sz w:val="15"/>
              </w:rPr>
              <w:t>Ascendas REIT ★</w:t>
            </w:r>
          </w:p>
        </w:tc>
        <w:tc>
          <w:tcPr>
            <w:tcW w:type="dxa" w:w="662"/>
            <w:shd w:val="clear" w:color="auto" w:fill="F7F7F5"/>
          </w:tcPr>
          <w:p>
            <w:pPr>
              <w:jc w:val="right"/>
            </w:pPr>
            <w:r>
              <w:rPr>
                <w:b w:val="0"/>
                <w:i w:val="0"/>
                <w:color w:val="52514E"/>
                <w:sz w:val="15"/>
              </w:rPr>
              <w:t>+0.0%</w:t>
            </w:r>
          </w:p>
        </w:tc>
        <w:tc>
          <w:tcPr>
            <w:tcW w:type="dxa" w:w="792"/>
            <w:shd w:val="clear" w:color="auto" w:fill="F7F7F5"/>
          </w:tcPr>
          <w:p>
            <w:pPr>
              <w:jc w:val="right"/>
            </w:pPr>
            <w:r>
              <w:rPr>
                <w:b w:val="0"/>
                <w:i w:val="0"/>
                <w:color w:val="A12D2C"/>
                <w:sz w:val="15"/>
              </w:rPr>
              <w:t>-1.3%</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(23)</w:t>
            </w:r>
          </w:p>
        </w:tc>
        <w:tc>
          <w:tcPr>
            <w:tcW w:type="dxa" w:w="1872"/>
            <w:shd w:val="clear" w:color="auto" w:fill="F7F7F5"/>
          </w:tcPr>
          <w:p>
            <w:r>
              <w:rPr>
                <w:b w:val="0"/>
                <w:i w:val="0"/>
                <w:sz w:val="15"/>
              </w:rPr>
              <w:t>—</w:t>
            </w:r>
          </w:p>
        </w:tc>
        <w:tc>
          <w:tcPr>
            <w:tcW w:type="dxa" w:w="1642"/>
            <w:shd w:val="clear" w:color="auto" w:fill="F7F7F5"/>
          </w:tcPr>
          <w:p>
            <w:r>
              <w:rPr>
                <w:b w:val="0"/>
                <w:i w:val="0"/>
                <w:sz w:val="15"/>
              </w:rPr>
              <w:t>Not yet in the price</w:t>
            </w:r>
          </w:p>
        </w:tc>
      </w:tr>
      <w:tr>
        <w:tc>
          <w:tcPr>
            <w:tcW w:type="dxa" w:w="360"/>
          </w:tcPr>
          <w:p>
            <w:r>
              <w:rPr>
                <w:b w:val="0"/>
                <w:i w:val="0"/>
                <w:sz w:val="15"/>
              </w:rPr>
              <w:t>5</w:t>
            </w:r>
          </w:p>
        </w:tc>
        <w:tc>
          <w:tcPr>
            <w:tcW w:type="dxa" w:w="2189"/>
          </w:tcPr>
          <w:p>
            <w:r>
              <w:rPr>
                <w:b w:val="0"/>
                <w:i w:val="0"/>
                <w:sz w:val="15"/>
              </w:rPr>
              <w:t>UOB ★</w:t>
            </w:r>
          </w:p>
        </w:tc>
        <w:tc>
          <w:tcPr>
            <w:tcW w:type="dxa" w:w="662"/>
          </w:tcPr>
          <w:p>
            <w:pPr>
              <w:jc w:val="right"/>
            </w:pPr>
            <w:r>
              <w:rPr>
                <w:b w:val="0"/>
                <w:i w:val="0"/>
                <w:color w:val="1C5CAB"/>
                <w:sz w:val="15"/>
              </w:rPr>
              <w:t>+0.5%</w:t>
            </w:r>
          </w:p>
        </w:tc>
        <w:tc>
          <w:tcPr>
            <w:tcW w:type="dxa" w:w="792"/>
          </w:tcPr>
          <w:p>
            <w:pPr>
              <w:jc w:val="right"/>
            </w:pPr>
            <w:r>
              <w:rPr>
                <w:b w:val="0"/>
                <w:i w:val="0"/>
                <w:color w:val="A12D2C"/>
                <w:sz w:val="15"/>
              </w:rPr>
              <w:t>-3.0%</w:t>
            </w:r>
          </w:p>
        </w:tc>
        <w:tc>
          <w:tcPr>
            <w:tcW w:type="dxa" w:w="1037"/>
            <w:shd w:val="clear" w:color="auto" w:fill="DCEAFB"/>
          </w:tcPr>
          <w:p>
            <w:r>
              <w:rPr>
                <w:b/>
                <w:i w:val="0"/>
                <w:color w:val="1C5CAB"/>
                <w:sz w:val="15"/>
              </w:rPr>
              <w:t>Positive</w:t>
            </w:r>
          </w:p>
        </w:tc>
        <w:tc>
          <w:tcPr>
            <w:tcW w:type="dxa" w:w="1382"/>
          </w:tcPr>
          <w:p>
            <w:r>
              <w:rPr>
                <w:b w:val="0"/>
                <w:i w:val="0"/>
                <w:sz w:val="15"/>
              </w:rPr>
              <w:t>Mixed (49)</w:t>
            </w:r>
          </w:p>
        </w:tc>
        <w:tc>
          <w:tcPr>
            <w:tcW w:type="dxa" w:w="1872"/>
          </w:tcPr>
          <w:p>
            <w:r>
              <w:rPr>
                <w:b w:val="0"/>
                <w:i w:val="0"/>
                <w:sz w:val="15"/>
              </w:rPr>
              <w:t>Weekly up · Above avg price</w:t>
            </w:r>
          </w:p>
        </w:tc>
        <w:tc>
          <w:tcPr>
            <w:tcW w:type="dxa" w:w="1642"/>
          </w:tcPr>
          <w:p>
            <w:r>
              <w:rPr>
                <w:b w:val="0"/>
                <w:i w:val="0"/>
                <w:sz w:val="15"/>
              </w:rPr>
              <w:t>Not yet in the price</w:t>
            </w:r>
          </w:p>
        </w:tc>
      </w:tr>
      <w:tr>
        <w:tc>
          <w:tcPr>
            <w:tcW w:type="dxa" w:w="360"/>
            <w:shd w:val="clear" w:color="auto" w:fill="F7F7F5"/>
          </w:tcPr>
          <w:p>
            <w:r>
              <w:rPr>
                <w:b w:val="0"/>
                <w:i w:val="0"/>
                <w:sz w:val="15"/>
              </w:rPr>
              <w:t>6</w:t>
            </w:r>
          </w:p>
        </w:tc>
        <w:tc>
          <w:tcPr>
            <w:tcW w:type="dxa" w:w="2189"/>
            <w:shd w:val="clear" w:color="auto" w:fill="F7F7F5"/>
          </w:tcPr>
          <w:p>
            <w:r>
              <w:rPr>
                <w:b w:val="0"/>
                <w:i w:val="0"/>
                <w:sz w:val="15"/>
              </w:rPr>
              <w:t>ComfortDelGro ★</w:t>
            </w:r>
          </w:p>
        </w:tc>
        <w:tc>
          <w:tcPr>
            <w:tcW w:type="dxa" w:w="662"/>
            <w:shd w:val="clear" w:color="auto" w:fill="F7F7F5"/>
          </w:tcPr>
          <w:p>
            <w:pPr>
              <w:jc w:val="right"/>
            </w:pPr>
            <w:r>
              <w:rPr>
                <w:b w:val="0"/>
                <w:i w:val="0"/>
                <w:color w:val="1C5CAB"/>
                <w:sz w:val="15"/>
              </w:rPr>
              <w:t>+0.7%</w:t>
            </w:r>
          </w:p>
        </w:tc>
        <w:tc>
          <w:tcPr>
            <w:tcW w:type="dxa" w:w="792"/>
            <w:shd w:val="clear" w:color="auto" w:fill="F7F7F5"/>
          </w:tcPr>
          <w:p>
            <w:pPr>
              <w:jc w:val="right"/>
            </w:pPr>
            <w:r>
              <w:rPr>
                <w:b w:val="0"/>
                <w:i w:val="0"/>
                <w:color w:val="1C5CAB"/>
                <w:sz w:val="15"/>
              </w:rPr>
              <w:t>+2.3%</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(40)</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Price agreed</w:t>
            </w:r>
          </w:p>
        </w:tc>
      </w:tr>
      <w:tr>
        <w:tc>
          <w:tcPr>
            <w:tcW w:type="dxa" w:w="360"/>
          </w:tcPr>
          <w:p>
            <w:r>
              <w:rPr>
                <w:b w:val="0"/>
                <w:i w:val="0"/>
                <w:sz w:val="15"/>
              </w:rPr>
              <w:t>7</w:t>
            </w:r>
          </w:p>
        </w:tc>
        <w:tc>
          <w:tcPr>
            <w:tcW w:type="dxa" w:w="2189"/>
          </w:tcPr>
          <w:p>
            <w:r>
              <w:rPr>
                <w:b w:val="0"/>
                <w:i w:val="0"/>
                <w:sz w:val="15"/>
              </w:rPr>
              <w:t>Singtel ★</w:t>
            </w:r>
          </w:p>
        </w:tc>
        <w:tc>
          <w:tcPr>
            <w:tcW w:type="dxa" w:w="662"/>
          </w:tcPr>
          <w:p>
            <w:pPr>
              <w:jc w:val="right"/>
            </w:pPr>
            <w:r>
              <w:rPr>
                <w:b w:val="0"/>
                <w:i w:val="0"/>
                <w:color w:val="52514E"/>
                <w:sz w:val="15"/>
              </w:rPr>
              <w:t>+0.2%</w:t>
            </w:r>
          </w:p>
        </w:tc>
        <w:tc>
          <w:tcPr>
            <w:tcW w:type="dxa" w:w="792"/>
          </w:tcPr>
          <w:p>
            <w:pPr>
              <w:jc w:val="right"/>
            </w:pPr>
            <w:r>
              <w:rPr>
                <w:b w:val="0"/>
                <w:i w:val="0"/>
                <w:color w:val="1C5CAB"/>
                <w:sz w:val="15"/>
              </w:rPr>
              <w:t>+3.7%</w:t>
            </w:r>
          </w:p>
        </w:tc>
        <w:tc>
          <w:tcPr>
            <w:tcW w:type="dxa" w:w="1037"/>
            <w:shd w:val="clear" w:color="auto" w:fill="DCEAFB"/>
          </w:tcPr>
          <w:p>
            <w:r>
              <w:rPr>
                <w:b/>
                <w:i w:val="0"/>
                <w:color w:val="1C5CAB"/>
                <w:sz w:val="15"/>
              </w:rPr>
              <w:t>Positive</w:t>
            </w:r>
          </w:p>
        </w:tc>
        <w:tc>
          <w:tcPr>
            <w:tcW w:type="dxa" w:w="1382"/>
          </w:tcPr>
          <w:p>
            <w:r>
              <w:rPr>
                <w:b w:val="0"/>
                <w:i w:val="0"/>
                <w:sz w:val="15"/>
              </w:rPr>
              <w:t>Mixed (48)</w:t>
            </w:r>
          </w:p>
        </w:tc>
        <w:tc>
          <w:tcPr>
            <w:tcW w:type="dxa" w:w="1872"/>
          </w:tcPr>
          <w:p>
            <w:r>
              <w:rPr>
                <w:b w:val="0"/>
                <w:i w:val="0"/>
                <w:sz w:val="15"/>
              </w:rPr>
              <w:t>Trend turned up · Above avg price</w:t>
            </w:r>
          </w:p>
        </w:tc>
        <w:tc>
          <w:tcPr>
            <w:tcW w:type="dxa" w:w="1642"/>
          </w:tcPr>
          <w:p>
            <w:r>
              <w:rPr>
                <w:b w:val="0"/>
                <w:i w:val="0"/>
                <w:sz w:val="15"/>
              </w:rPr>
              <w:t>Not yet in the price</w:t>
            </w:r>
          </w:p>
        </w:tc>
      </w:tr>
      <w:tr>
        <w:tc>
          <w:tcPr>
            <w:tcW w:type="dxa" w:w="360"/>
            <w:shd w:val="clear" w:color="auto" w:fill="F7F7F5"/>
          </w:tcPr>
          <w:p>
            <w:r>
              <w:rPr>
                <w:b w:val="0"/>
                <w:i w:val="0"/>
                <w:sz w:val="15"/>
              </w:rPr>
              <w:t>8</w:t>
            </w:r>
          </w:p>
        </w:tc>
        <w:tc>
          <w:tcPr>
            <w:tcW w:type="dxa" w:w="2189"/>
            <w:shd w:val="clear" w:color="auto" w:fill="F7F7F5"/>
          </w:tcPr>
          <w:p>
            <w:r>
              <w:rPr>
                <w:b w:val="0"/>
                <w:i w:val="0"/>
                <w:sz w:val="15"/>
              </w:rPr>
              <w:t>Sembcorp Industries ★</w:t>
            </w:r>
          </w:p>
        </w:tc>
        <w:tc>
          <w:tcPr>
            <w:tcW w:type="dxa" w:w="662"/>
            <w:shd w:val="clear" w:color="auto" w:fill="F7F7F5"/>
          </w:tcPr>
          <w:p>
            <w:pPr>
              <w:jc w:val="right"/>
            </w:pPr>
            <w:r>
              <w:rPr>
                <w:b w:val="0"/>
                <w:i w:val="0"/>
                <w:color w:val="1C5CAB"/>
                <w:sz w:val="15"/>
              </w:rPr>
              <w:t>+2.4%</w:t>
            </w:r>
          </w:p>
        </w:tc>
        <w:tc>
          <w:tcPr>
            <w:tcW w:type="dxa" w:w="792"/>
            <w:shd w:val="clear" w:color="auto" w:fill="F7F7F5"/>
          </w:tcPr>
          <w:p>
            <w:pPr>
              <w:jc w:val="right"/>
            </w:pPr>
            <w:r>
              <w:rPr>
                <w:b w:val="0"/>
                <w:i w:val="0"/>
                <w:color w:val="1C5CAB"/>
                <w:sz w:val="15"/>
              </w:rPr>
              <w:t>+6.6%</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negative (26)</w:t>
            </w:r>
          </w:p>
        </w:tc>
        <w:tc>
          <w:tcPr>
            <w:tcW w:type="dxa" w:w="1872"/>
            <w:shd w:val="clear" w:color="auto" w:fill="F7F7F5"/>
          </w:tcPr>
          <w:p>
            <w:r>
              <w:rPr>
                <w:b w:val="0"/>
                <w:i w:val="0"/>
                <w:sz w:val="15"/>
              </w:rPr>
              <w:t>Above range · Above avg price</w:t>
            </w:r>
          </w:p>
        </w:tc>
        <w:tc>
          <w:tcPr>
            <w:tcW w:type="dxa" w:w="1642"/>
            <w:shd w:val="clear" w:color="auto" w:fill="F7F7F5"/>
          </w:tcPr>
          <w:p>
            <w:r>
              <w:rPr>
                <w:b w:val="0"/>
                <w:i w:val="0"/>
                <w:sz w:val="15"/>
              </w:rPr>
              <w:t>Price agreed</w:t>
            </w:r>
          </w:p>
        </w:tc>
      </w:tr>
      <w:tr>
        <w:tc>
          <w:tcPr>
            <w:tcW w:type="dxa" w:w="360"/>
          </w:tcPr>
          <w:p>
            <w:r>
              <w:rPr>
                <w:b w:val="0"/>
                <w:i w:val="0"/>
                <w:sz w:val="15"/>
              </w:rPr>
              <w:t>9</w:t>
            </w:r>
          </w:p>
        </w:tc>
        <w:tc>
          <w:tcPr>
            <w:tcW w:type="dxa" w:w="2189"/>
          </w:tcPr>
          <w:p>
            <w:r>
              <w:rPr>
                <w:b w:val="0"/>
                <w:i w:val="0"/>
                <w:sz w:val="15"/>
              </w:rPr>
              <w:t>Mapletree Pan Asia Comm. Trust ★</w:t>
            </w:r>
          </w:p>
        </w:tc>
        <w:tc>
          <w:tcPr>
            <w:tcW w:type="dxa" w:w="662"/>
          </w:tcPr>
          <w:p>
            <w:pPr>
              <w:jc w:val="right"/>
            </w:pPr>
            <w:r>
              <w:rPr>
                <w:b w:val="0"/>
                <w:i w:val="0"/>
                <w:color w:val="A12D2C"/>
                <w:sz w:val="15"/>
              </w:rPr>
              <w:t>-0.8%</w:t>
            </w:r>
          </w:p>
        </w:tc>
        <w:tc>
          <w:tcPr>
            <w:tcW w:type="dxa" w:w="792"/>
          </w:tcPr>
          <w:p>
            <w:pPr>
              <w:jc w:val="right"/>
            </w:pPr>
            <w:r>
              <w:rPr>
                <w:b w:val="0"/>
                <w:i w:val="0"/>
                <w:color w:val="A12D2C"/>
                <w:sz w:val="15"/>
              </w:rPr>
              <w:t>-0.8%</w:t>
            </w:r>
          </w:p>
        </w:tc>
        <w:tc>
          <w:tcPr>
            <w:tcW w:type="dxa" w:w="1037"/>
            <w:shd w:val="clear" w:color="auto" w:fill="DCEAFB"/>
          </w:tcPr>
          <w:p>
            <w:r>
              <w:rPr>
                <w:b/>
                <w:i w:val="0"/>
                <w:color w:val="1C5CAB"/>
                <w:sz w:val="15"/>
              </w:rPr>
              <w:t>Positive</w:t>
            </w:r>
          </w:p>
        </w:tc>
        <w:tc>
          <w:tcPr>
            <w:tcW w:type="dxa" w:w="1382"/>
          </w:tcPr>
          <w:p>
            <w:r>
              <w:rPr>
                <w:b w:val="0"/>
                <w:i w:val="0"/>
                <w:sz w:val="15"/>
              </w:rPr>
              <w:t>Mixed (20)</w:t>
            </w:r>
          </w:p>
        </w:tc>
        <w:tc>
          <w:tcPr>
            <w:tcW w:type="dxa" w:w="1872"/>
          </w:tcPr>
          <w:p>
            <w:r>
              <w:rPr>
                <w:b w:val="0"/>
                <w:i w:val="0"/>
                <w:sz w:val="15"/>
              </w:rPr>
              <w:t>—</w:t>
            </w:r>
          </w:p>
        </w:tc>
        <w:tc>
          <w:tcPr>
            <w:tcW w:type="dxa" w:w="1642"/>
          </w:tcPr>
          <w:p>
            <w:r>
              <w:rPr>
                <w:b w:val="0"/>
                <w:i w:val="0"/>
                <w:sz w:val="15"/>
              </w:rPr>
              <w:t>Price went the other way</w:t>
            </w:r>
          </w:p>
        </w:tc>
      </w:tr>
      <w:tr>
        <w:tc>
          <w:tcPr>
            <w:tcW w:type="dxa" w:w="360"/>
            <w:shd w:val="clear" w:color="auto" w:fill="F7F7F5"/>
          </w:tcPr>
          <w:p>
            <w:r>
              <w:rPr>
                <w:b w:val="0"/>
                <w:i w:val="0"/>
                <w:sz w:val="15"/>
              </w:rPr>
              <w:t>10</w:t>
            </w:r>
          </w:p>
        </w:tc>
        <w:tc>
          <w:tcPr>
            <w:tcW w:type="dxa" w:w="2189"/>
            <w:shd w:val="clear" w:color="auto" w:fill="F7F7F5"/>
          </w:tcPr>
          <w:p>
            <w:r>
              <w:rPr>
                <w:b w:val="0"/>
                <w:i w:val="0"/>
                <w:sz w:val="15"/>
              </w:rPr>
              <w:t>DBS Group ★</w:t>
            </w:r>
          </w:p>
        </w:tc>
        <w:tc>
          <w:tcPr>
            <w:tcW w:type="dxa" w:w="662"/>
            <w:shd w:val="clear" w:color="auto" w:fill="F7F7F5"/>
          </w:tcPr>
          <w:p>
            <w:pPr>
              <w:jc w:val="right"/>
            </w:pPr>
            <w:r>
              <w:rPr>
                <w:b w:val="0"/>
                <w:i w:val="0"/>
                <w:color w:val="1C5CAB"/>
                <w:sz w:val="15"/>
              </w:rPr>
              <w:t>+1.8%</w:t>
            </w:r>
          </w:p>
        </w:tc>
        <w:tc>
          <w:tcPr>
            <w:tcW w:type="dxa" w:w="792"/>
            <w:shd w:val="clear" w:color="auto" w:fill="F7F7F5"/>
          </w:tcPr>
          <w:p>
            <w:pPr>
              <w:jc w:val="right"/>
            </w:pPr>
            <w:r>
              <w:rPr>
                <w:b w:val="0"/>
                <w:i w:val="0"/>
                <w:color w:val="1C5CAB"/>
                <w:sz w:val="15"/>
              </w:rPr>
              <w:t>+1.8%</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(50)</w:t>
            </w:r>
          </w:p>
        </w:tc>
        <w:tc>
          <w:tcPr>
            <w:tcW w:type="dxa" w:w="1872"/>
            <w:shd w:val="clear" w:color="auto" w:fill="F7F7F5"/>
          </w:tcPr>
          <w:p>
            <w:r>
              <w:rPr>
                <w:b w:val="0"/>
                <w:i w:val="0"/>
                <w:sz w:val="15"/>
              </w:rPr>
              <w:t>Overbought · Weekly up · Above avg price</w:t>
            </w:r>
          </w:p>
        </w:tc>
        <w:tc>
          <w:tcPr>
            <w:tcW w:type="dxa" w:w="1642"/>
            <w:shd w:val="clear" w:color="auto" w:fill="F7F7F5"/>
          </w:tcPr>
          <w:p>
            <w:r>
              <w:rPr>
                <w:b w:val="0"/>
                <w:i w:val="0"/>
                <w:sz w:val="15"/>
              </w:rPr>
              <w:t>Price agreed</w:t>
            </w:r>
          </w:p>
        </w:tc>
      </w:tr>
      <w:tr>
        <w:tc>
          <w:tcPr>
            <w:tcW w:type="dxa" w:w="360"/>
          </w:tcPr>
          <w:p>
            <w:r>
              <w:rPr>
                <w:b w:val="0"/>
                <w:i w:val="0"/>
                <w:sz w:val="15"/>
              </w:rPr>
              <w:t>11</w:t>
            </w:r>
          </w:p>
        </w:tc>
        <w:tc>
          <w:tcPr>
            <w:tcW w:type="dxa" w:w="2189"/>
          </w:tcPr>
          <w:p>
            <w:r>
              <w:rPr>
                <w:b w:val="0"/>
                <w:i w:val="0"/>
                <w:sz w:val="15"/>
              </w:rPr>
              <w:t>OCBC Bank ★</w:t>
            </w:r>
          </w:p>
        </w:tc>
        <w:tc>
          <w:tcPr>
            <w:tcW w:type="dxa" w:w="662"/>
          </w:tcPr>
          <w:p>
            <w:pPr>
              <w:jc w:val="right"/>
            </w:pPr>
            <w:r>
              <w:rPr>
                <w:b w:val="0"/>
                <w:i w:val="0"/>
                <w:color w:val="1C5CAB"/>
                <w:sz w:val="15"/>
              </w:rPr>
              <w:t>+0.7%</w:t>
            </w:r>
          </w:p>
        </w:tc>
        <w:tc>
          <w:tcPr>
            <w:tcW w:type="dxa" w:w="792"/>
          </w:tcPr>
          <w:p>
            <w:pPr>
              <w:jc w:val="right"/>
            </w:pPr>
            <w:r>
              <w:rPr>
                <w:b w:val="0"/>
                <w:i w:val="0"/>
                <w:color w:val="1C5CAB"/>
                <w:sz w:val="15"/>
              </w:rPr>
              <w:t>+5.7%</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Overbought · Weekly up · Above avg price</w:t>
            </w:r>
          </w:p>
        </w:tc>
        <w:tc>
          <w:tcPr>
            <w:tcW w:type="dxa" w:w="1642"/>
          </w:tcPr>
          <w:p>
            <w:r>
              <w:rPr>
                <w:b w:val="0"/>
                <w:i w:val="0"/>
                <w:sz w:val="15"/>
              </w:rPr>
              <w:t>Price agreed</w:t>
            </w:r>
          </w:p>
        </w:tc>
      </w:tr>
      <w:tr>
        <w:tc>
          <w:tcPr>
            <w:tcW w:type="dxa" w:w="360"/>
            <w:shd w:val="clear" w:color="auto" w:fill="F7F7F5"/>
          </w:tcPr>
          <w:p>
            <w:r>
              <w:rPr>
                <w:b w:val="0"/>
                <w:i w:val="0"/>
                <w:sz w:val="15"/>
              </w:rPr>
              <w:t>12</w:t>
            </w:r>
          </w:p>
        </w:tc>
        <w:tc>
          <w:tcPr>
            <w:tcW w:type="dxa" w:w="2189"/>
            <w:shd w:val="clear" w:color="auto" w:fill="F7F7F5"/>
          </w:tcPr>
          <w:p>
            <w:r>
              <w:rPr>
                <w:b w:val="0"/>
                <w:i w:val="0"/>
                <w:sz w:val="15"/>
              </w:rPr>
              <w:t>Keppel Corp ★</w:t>
            </w:r>
          </w:p>
        </w:tc>
        <w:tc>
          <w:tcPr>
            <w:tcW w:type="dxa" w:w="662"/>
            <w:shd w:val="clear" w:color="auto" w:fill="F7F7F5"/>
          </w:tcPr>
          <w:p>
            <w:pPr>
              <w:jc w:val="right"/>
            </w:pPr>
            <w:r>
              <w:rPr>
                <w:b w:val="0"/>
                <w:i w:val="0"/>
                <w:color w:val="1C5CAB"/>
                <w:sz w:val="15"/>
              </w:rPr>
              <w:t>+3.0%</w:t>
            </w:r>
          </w:p>
        </w:tc>
        <w:tc>
          <w:tcPr>
            <w:tcW w:type="dxa" w:w="792"/>
            <w:shd w:val="clear" w:color="auto" w:fill="F7F7F5"/>
          </w:tcPr>
          <w:p>
            <w:pPr>
              <w:jc w:val="right"/>
            </w:pPr>
            <w:r>
              <w:rPr>
                <w:b w:val="0"/>
                <w:i w:val="0"/>
                <w:color w:val="1C5CAB"/>
                <w:sz w:val="15"/>
              </w:rPr>
              <w:t>+4.4%</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(27)</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Price agreed</w:t>
            </w:r>
          </w:p>
        </w:tc>
      </w:tr>
      <w:tr>
        <w:tc>
          <w:tcPr>
            <w:tcW w:type="dxa" w:w="360"/>
          </w:tcPr>
          <w:p>
            <w:r>
              <w:rPr>
                <w:b w:val="0"/>
                <w:i w:val="0"/>
                <w:sz w:val="15"/>
              </w:rPr>
              <w:t>13</w:t>
            </w:r>
          </w:p>
        </w:tc>
        <w:tc>
          <w:tcPr>
            <w:tcW w:type="dxa" w:w="2189"/>
          </w:tcPr>
          <w:p>
            <w:r>
              <w:rPr>
                <w:b w:val="0"/>
                <w:i w:val="0"/>
                <w:sz w:val="15"/>
              </w:rPr>
              <w:t>Raffles Medical Group ★</w:t>
            </w:r>
          </w:p>
        </w:tc>
        <w:tc>
          <w:tcPr>
            <w:tcW w:type="dxa" w:w="662"/>
          </w:tcPr>
          <w:p>
            <w:pPr>
              <w:jc w:val="right"/>
            </w:pPr>
            <w:r>
              <w:rPr>
                <w:b w:val="0"/>
                <w:i w:val="0"/>
                <w:color w:val="1C5CAB"/>
                <w:sz w:val="15"/>
              </w:rPr>
              <w:t>+0.6%</w:t>
            </w:r>
          </w:p>
        </w:tc>
        <w:tc>
          <w:tcPr>
            <w:tcW w:type="dxa" w:w="792"/>
          </w:tcPr>
          <w:p>
            <w:pPr>
              <w:jc w:val="right"/>
            </w:pPr>
            <w:r>
              <w:rPr>
                <w:b w:val="0"/>
                <w:i w:val="0"/>
                <w:color w:val="52514E"/>
                <w:sz w:val="15"/>
              </w:rPr>
              <w:t>+0.0%</w:t>
            </w:r>
          </w:p>
        </w:tc>
        <w:tc>
          <w:tcPr>
            <w:tcW w:type="dxa" w:w="1037"/>
            <w:shd w:val="clear" w:color="auto" w:fill="EFEEEA"/>
          </w:tcPr>
          <w:p>
            <w:r>
              <w:rPr>
                <w:b/>
                <w:i w:val="0"/>
                <w:color w:val="52514E"/>
                <w:sz w:val="15"/>
              </w:rPr>
              <w:t>Neutral</w:t>
            </w:r>
          </w:p>
        </w:tc>
        <w:tc>
          <w:tcPr>
            <w:tcW w:type="dxa" w:w="1382"/>
          </w:tcPr>
          <w:p>
            <w:r>
              <w:rPr>
                <w:b w:val="0"/>
                <w:i w:val="0"/>
                <w:sz w:val="15"/>
              </w:rPr>
              <w:t>Mixed (21)</w:t>
            </w:r>
          </w:p>
        </w:tc>
        <w:tc>
          <w:tcPr>
            <w:tcW w:type="dxa" w:w="1872"/>
          </w:tcPr>
          <w:p>
            <w:r>
              <w:rPr>
                <w:b w:val="0"/>
                <w:i w:val="0"/>
                <w:sz w:val="15"/>
              </w:rPr>
              <w:t>Weekly down</w:t>
            </w:r>
          </w:p>
        </w:tc>
        <w:tc>
          <w:tcPr>
            <w:tcW w:type="dxa" w:w="1642"/>
          </w:tcPr>
          <w:p>
            <w:r>
              <w:rPr>
                <w:b w:val="0"/>
                <w:i w:val="0"/>
                <w:sz w:val="15"/>
              </w:rPr>
              <w:t>No signal, little move</w:t>
            </w:r>
          </w:p>
        </w:tc>
      </w:tr>
      <w:tr>
        <w:tc>
          <w:tcPr>
            <w:tcW w:type="dxa" w:w="360"/>
            <w:shd w:val="clear" w:color="auto" w:fill="F7F7F5"/>
          </w:tcPr>
          <w:p>
            <w:r>
              <w:rPr>
                <w:b w:val="0"/>
                <w:i w:val="0"/>
                <w:sz w:val="15"/>
              </w:rPr>
              <w:t>14</w:t>
            </w:r>
          </w:p>
        </w:tc>
        <w:tc>
          <w:tcPr>
            <w:tcW w:type="dxa" w:w="2189"/>
            <w:shd w:val="clear" w:color="auto" w:fill="F7F7F5"/>
          </w:tcPr>
          <w:p>
            <w:r>
              <w:rPr>
                <w:b w:val="0"/>
                <w:i w:val="0"/>
                <w:sz w:val="15"/>
              </w:rPr>
              <w:t>Wilmar Intl ★</w:t>
            </w:r>
          </w:p>
        </w:tc>
        <w:tc>
          <w:tcPr>
            <w:tcW w:type="dxa" w:w="662"/>
            <w:shd w:val="clear" w:color="auto" w:fill="F7F7F5"/>
          </w:tcPr>
          <w:p>
            <w:pPr>
              <w:jc w:val="right"/>
            </w:pPr>
            <w:r>
              <w:rPr>
                <w:b w:val="0"/>
                <w:i w:val="0"/>
                <w:color w:val="A12D2C"/>
                <w:sz w:val="15"/>
              </w:rPr>
              <w:t>-2.1%</w:t>
            </w:r>
          </w:p>
        </w:tc>
        <w:tc>
          <w:tcPr>
            <w:tcW w:type="dxa" w:w="792"/>
            <w:shd w:val="clear" w:color="auto" w:fill="F7F7F5"/>
          </w:tcPr>
          <w:p>
            <w:pPr>
              <w:jc w:val="right"/>
            </w:pPr>
            <w:r>
              <w:rPr>
                <w:b w:val="0"/>
                <w:i w:val="0"/>
                <w:color w:val="A12D2C"/>
                <w:sz w:val="15"/>
              </w:rPr>
              <w:t>-6.9%</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Mostly negative (25)</w:t>
            </w:r>
          </w:p>
        </w:tc>
        <w:tc>
          <w:tcPr>
            <w:tcW w:type="dxa" w:w="1872"/>
            <w:shd w:val="clear" w:color="auto" w:fill="F7F7F5"/>
          </w:tcPr>
          <w:p>
            <w:r>
              <w:rPr>
                <w:b w:val="0"/>
                <w:i w:val="0"/>
                <w:sz w:val="15"/>
              </w:rPr>
              <w:t>Below range</w:t>
            </w:r>
          </w:p>
        </w:tc>
        <w:tc>
          <w:tcPr>
            <w:tcW w:type="dxa" w:w="1642"/>
            <w:shd w:val="clear" w:color="auto" w:fill="F7F7F5"/>
          </w:tcPr>
          <w:p>
            <w:r>
              <w:rPr>
                <w:b w:val="0"/>
                <w:i w:val="0"/>
                <w:sz w:val="15"/>
              </w:rPr>
              <w:t>Moved without a signal</w:t>
            </w:r>
          </w:p>
        </w:tc>
      </w:tr>
      <w:tr>
        <w:tc>
          <w:tcPr>
            <w:tcW w:type="dxa" w:w="360"/>
          </w:tcPr>
          <w:p>
            <w:r>
              <w:rPr>
                <w:b w:val="0"/>
                <w:i w:val="0"/>
                <w:sz w:val="15"/>
              </w:rPr>
              <w:t>15</w:t>
            </w:r>
          </w:p>
        </w:tc>
        <w:tc>
          <w:tcPr>
            <w:tcW w:type="dxa" w:w="2189"/>
          </w:tcPr>
          <w:p>
            <w:r>
              <w:rPr>
                <w:b w:val="0"/>
                <w:i w:val="0"/>
                <w:sz w:val="15"/>
              </w:rPr>
              <w:t>Mapletree Industrial ★</w:t>
            </w:r>
          </w:p>
        </w:tc>
        <w:tc>
          <w:tcPr>
            <w:tcW w:type="dxa" w:w="662"/>
          </w:tcPr>
          <w:p>
            <w:pPr>
              <w:jc w:val="right"/>
            </w:pPr>
            <w:r>
              <w:rPr>
                <w:b w:val="0"/>
                <w:i w:val="0"/>
                <w:color w:val="52514E"/>
                <w:sz w:val="15"/>
              </w:rPr>
              <w:t>+0.0%</w:t>
            </w:r>
          </w:p>
        </w:tc>
        <w:tc>
          <w:tcPr>
            <w:tcW w:type="dxa" w:w="792"/>
          </w:tcPr>
          <w:p>
            <w:pPr>
              <w:jc w:val="right"/>
            </w:pPr>
            <w:r>
              <w:rPr>
                <w:b w:val="0"/>
                <w:i w:val="0"/>
                <w:color w:val="A12D2C"/>
                <w:sz w:val="15"/>
              </w:rPr>
              <w:t>-0.5%</w:t>
            </w:r>
          </w:p>
        </w:tc>
        <w:tc>
          <w:tcPr>
            <w:tcW w:type="dxa" w:w="1037"/>
            <w:shd w:val="clear" w:color="auto" w:fill="EFEEEA"/>
          </w:tcPr>
          <w:p>
            <w:r>
              <w:rPr>
                <w:b/>
                <w:i w:val="0"/>
                <w:color w:val="52514E"/>
                <w:sz w:val="15"/>
              </w:rPr>
              <w:t>Neutral</w:t>
            </w:r>
          </w:p>
        </w:tc>
        <w:tc>
          <w:tcPr>
            <w:tcW w:type="dxa" w:w="1382"/>
          </w:tcPr>
          <w:p>
            <w:r>
              <w:rPr>
                <w:b w:val="0"/>
                <w:i w:val="0"/>
                <w:sz w:val="15"/>
              </w:rPr>
              <w:t>Mostly negative (22)</w:t>
            </w:r>
          </w:p>
        </w:tc>
        <w:tc>
          <w:tcPr>
            <w:tcW w:type="dxa" w:w="1872"/>
          </w:tcPr>
          <w:p>
            <w:r>
              <w:rPr>
                <w:b w:val="0"/>
                <w:i w:val="0"/>
                <w:sz w:val="15"/>
              </w:rPr>
              <w:t>—</w:t>
            </w:r>
          </w:p>
        </w:tc>
        <w:tc>
          <w:tcPr>
            <w:tcW w:type="dxa" w:w="1642"/>
          </w:tcPr>
          <w:p>
            <w:r>
              <w:rPr>
                <w:b w:val="0"/>
                <w:i w:val="0"/>
                <w:sz w:val="15"/>
              </w:rPr>
              <w:t>No signal, little move</w:t>
            </w:r>
          </w:p>
        </w:tc>
      </w:tr>
    </w:tbl>
    <w:p>
      <w:pPr>
        <w:spacing w:after="40"/>
      </w:pPr>
      <w:r>
        <w:rPr>
          <w:b w:val="0"/>
          <w:i w:val="0"/>
          <w:color w:val="52514E"/>
          <w:sz w:val="14"/>
        </w:rPr>
        <w:t>The ranking describes today: in our tests it did not predict which stocks did better the next day, so it is not a list of stocks to pick. News today: the tone and number of company articles collected today. Price chart: chart signals that fired. Price vs news: whether today's price moved with the reading (a move within ±0.6%, a normal day, counts as no reaction). ★ more company-event news than usual (earnings, dividends, upgrades). ⚑ worth a closer look (none today; meaning in the glossary).</w:t>
      </w:r>
    </w:p>
    <w:p>
      <w:pPr>
        <w:keepNext/>
        <w:pageBreakBefore/>
        <w:spacing w:before="0" w:after="40"/>
        <w:pBdr>
          <w:bottom w:val="single" w:sz="6" w:space="2" w:color="CDE2FB"/>
        </w:pBdr>
      </w:pPr>
      <w:r>
        <w:rPr>
          <w:b/>
          <w:i w:val="0"/>
          <w:color w:val="1A2E55"/>
          <w:sz w:val="26"/>
        </w:rPr>
        <w:t>2 · The last 5 trading days and what may explain them</w:t>
      </w:r>
    </w:p>
    <w:p>
      <w:pPr>
        <w:keepNext/>
      </w:pPr>
      <w:r>
        <w:rPr>
          <w:b w:val="0"/>
          <w:i w:val="0"/>
          <w:color w:val="52514E"/>
          <w:sz w:val="17"/>
        </w:rPr>
        <w:t>Each square is one day's news-and-signals reading for a stock; the bar is its price change over 11–17 Aug. Stocks are grouped by sector, best sector first.</w:t>
      </w:r>
    </w:p>
    <w:p>
      <w:pPr>
        <w:spacing w:after="40"/>
      </w:pPr>
      <w:r>
        <w:drawing>
          <wp:inline xmlns:a="http://schemas.openxmlformats.org/drawingml/2006/main" xmlns:pic="http://schemas.openxmlformats.org/drawingml/2006/picture">
            <wp:extent cx="6309360" cy="3650415"/>
            <wp:docPr id="1" name="Picture 1"/>
            <wp:cNvGraphicFramePr>
              <a:graphicFrameLocks noChangeAspect="1"/>
            </wp:cNvGraphicFramePr>
            <a:graphic>
              <a:graphicData uri="http://schemas.openxmlformats.org/drawingml/2006/picture">
                <pic:pic>
                  <pic:nvPicPr>
                    <pic:cNvPr id="0" name="week_2026-08-17.png"/>
                    <pic:cNvPicPr/>
                  </pic:nvPicPr>
                  <pic:blipFill>
                    <a:blip r:embed="rId10"/>
                    <a:stretch>
                      <a:fillRect/>
                    </a:stretch>
                  </pic:blipFill>
                  <pic:spPr>
                    <a:xfrm>
                      <a:off x="0" y="0"/>
                      <a:ext cx="6309360" cy="3650415"/>
                    </a:xfrm>
                    <a:prstGeom prst="rect"/>
                  </pic:spPr>
                </pic:pic>
              </a:graphicData>
            </a:graphic>
          </wp:inline>
        </w:drawing>
      </w:r>
    </w:p>
    <w:p>
      <w:pPr>
        <w:keepNext/>
        <w:spacing w:before="120" w:after="20"/>
      </w:pPr>
      <w:r>
        <w:rPr>
          <w:b/>
          <w:i w:val="0"/>
          <w:color w:val="1A2E55"/>
          <w:sz w:val="21"/>
        </w:rPr>
        <w:t>Where today's news adds something</w:t>
      </w:r>
    </w:p>
    <w:p>
      <w:pPr>
        <w:spacing w:after="40"/>
      </w:pPr>
      <w:r>
        <w:rPr>
          <w:b w:val="0"/>
          <w:i w:val="0"/>
          <w:color w:val="52514E"/>
          <w:sz w:val="15"/>
        </w:rPr>
        <w:t>The stocks with a positive or negative news-and-signals reading today (⚑ first, strongest first).</w:t>
      </w:r>
    </w:p>
    <w:p>
      <w:pPr>
        <w:spacing w:after="40"/>
      </w:pPr>
      <w:r>
        <w:rPr>
          <w:b w:val="0"/>
          <w:i w:val="0"/>
          <w:color w:val="52514E"/>
          <w:sz w:val="14"/>
        </w:rPr>
        <w:t>The AI summaries mention a 'geopolitical backdrop' and 'political news volume': those two rules fire every day and cancel out, so they carry no information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2A78D6"/>
            </w:tcBorders>
          </w:tcPr>
          <w:p>
            <w:r>
              <w:rPr>
                <w:b/>
                <w:i w:val="0"/>
                <w:color w:val="1A2E55"/>
                <w:sz w:val="21"/>
              </w:rPr>
              <w:t>ST Engineering</w:t>
            </w:r>
            <w:r>
              <w:rPr>
                <w:b w:val="0"/>
                <w:i w:val="0"/>
                <w:color w:val="52514E"/>
                <w:sz w:val="17"/>
              </w:rPr>
              <w:t xml:space="preserve">   Industrials  ·  +7.8% over 11–17 Aug</w:t>
            </w:r>
          </w:p>
          <w:p>
            <w:pPr>
              <w:spacing w:after="10" w:line="240" w:lineRule="auto"/>
            </w:pPr>
            <w:r>
              <w:rPr>
                <w:b/>
                <w:i w:val="0"/>
                <w:color w:val="1A2E55"/>
                <w:sz w:val="16"/>
              </w:rPr>
              <w:t xml:space="preserve">In short (AI-written, checked)  </w:t>
            </w:r>
            <w:r>
              <w:rPr>
                <w:b w:val="0"/>
                <w:i w:val="0"/>
                <w:sz w:val="16"/>
              </w:rPr>
              <w:t>ST Engineering rose over 11–17 Aug. The news today is mostly positive and already in the price, matching the five-day context. The forecast model suggests a fall, but its record is only a weak signal.</w:t>
            </w:r>
          </w:p>
          <w:p>
            <w:pPr>
              <w:spacing w:after="10" w:line="240" w:lineRule="auto"/>
            </w:pPr>
            <w:r>
              <w:rPr>
                <w:b/>
                <w:i w:val="0"/>
                <w:color w:val="1A2E55"/>
                <w:sz w:val="16"/>
              </w:rPr>
              <w:t xml:space="preserve">What happened  </w:t>
            </w:r>
            <w:r>
              <w:rPr>
                <w:b w:val="0"/>
                <w:i w:val="0"/>
                <w:sz w:val="16"/>
              </w:rPr>
              <w:t>Rose 7.8% over 11–17 Aug, most of it on Fri 14 Aug (+5.8%). Today +1.6%.</w:t>
            </w:r>
          </w:p>
          <w:p>
            <w:pPr>
              <w:spacing w:after="10" w:line="240" w:lineRule="auto"/>
            </w:pPr>
            <w:r>
              <w:rPr>
                <w:b/>
                <w:i w:val="0"/>
                <w:color w:val="1A2E55"/>
                <w:sz w:val="16"/>
              </w:rPr>
              <w:t xml:space="preserve">Today: news vs price  </w:t>
            </w:r>
            <w:r>
              <w:rPr>
                <w:b w:val="0"/>
                <w:i w:val="0"/>
                <w:sz w:val="16"/>
              </w:rPr>
              <w:t>Positive reading and the price rose 1.6%, more than a normal day's ±0.6%: the news already shows in the price. The forecast model expects a pullback. (Pattern: Mean reversion.)</w:t>
            </w:r>
          </w:p>
          <w:p>
            <w:pPr>
              <w:spacing w:after="10" w:line="240" w:lineRule="auto"/>
            </w:pPr>
            <w:r>
              <w:rPr>
                <w:b/>
                <w:i w:val="0"/>
                <w:color w:val="1A2E55"/>
                <w:sz w:val="16"/>
              </w:rPr>
              <w:t xml:space="preserve">Last 5 days in context  </w:t>
            </w:r>
            <w:r>
              <w:rPr>
                <w:b w:val="0"/>
                <w:i w:val="0"/>
                <w:sz w:val="16"/>
              </w:rPr>
              <w:t>Company news collected today was mostly positive; the price rose 7.8% over 11–17 Aug, its 2 sector peers +5.5% on average, and the 15 stocks +1.5% on average. So the company news and the price point the same way, and the move looks sector-wide.</w:t>
            </w:r>
          </w:p>
          <w:p>
            <w:pPr>
              <w:spacing w:after="10" w:line="240" w:lineRule="auto"/>
            </w:pPr>
            <w:r>
              <w:rPr>
                <w:b/>
                <w:i w:val="0"/>
                <w:color w:val="1A2E55"/>
                <w:sz w:val="16"/>
              </w:rPr>
              <w:t xml:space="preserve">News today  </w:t>
            </w:r>
            <w:r>
              <w:rPr>
                <w:b w:val="0"/>
                <w:i w:val="0"/>
                <w:sz w:val="16"/>
              </w:rPr>
              <w:t>45 articles collected today: 19 positive, 11 negative, 15 neutral (mostly positive). Event tags: dividend, earnings, management change.</w:t>
            </w:r>
          </w:p>
          <w:p>
            <w:pPr>
              <w:spacing w:after="10" w:line="240" w:lineRule="auto"/>
            </w:pPr>
            <w:r>
              <w:rPr>
                <w:b/>
                <w:i w:val="0"/>
                <w:color w:val="1A2E55"/>
                <w:sz w:val="16"/>
              </w:rPr>
              <w:t xml:space="preserve">Headlines  </w:t>
            </w:r>
            <w:r>
              <w:rPr>
                <w:b w:val="0"/>
                <w:i w:val="0"/>
                <w:sz w:val="16"/>
              </w:rPr>
              <w:t>+ “Genting, Sembcorp, ST Engineering: Top Blue-Chip Stocks to Watch This Week” (The Smart Investor, 10 Aug)</w:t>
            </w:r>
          </w:p>
          <w:p>
            <w:pPr>
              <w:spacing w:after="10" w:line="240" w:lineRule="auto"/>
            </w:pPr>
            <w:r>
              <w:rPr>
                <w:b/>
                <w:i w:val="0"/>
                <w:color w:val="1A2E55"/>
                <w:sz w:val="16"/>
              </w:rPr>
              <w:t xml:space="preserve">Price chart  </w:t>
            </w:r>
            <w:r>
              <w:rPr>
                <w:b w:val="0"/>
                <w:i w:val="0"/>
                <w:sz w:val="16"/>
              </w:rPr>
              <w:t>RSI 66, between 30 and 70: no unusually fast move; price above its usual range (Bollinger band); price above its volume-weighted average.</w:t>
            </w:r>
          </w:p>
          <w:p>
            <w:pPr>
              <w:spacing w:after="10" w:line="240" w:lineRule="auto"/>
            </w:pPr>
            <w:r>
              <w:rPr>
                <w:b/>
                <w:i w:val="0"/>
                <w:color w:val="1A2E55"/>
                <w:sz w:val="16"/>
              </w:rPr>
              <w:t xml:space="preserve">News &amp; signals reading  </w:t>
            </w:r>
            <w:r>
              <w:rPr>
                <w:b w:val="0"/>
                <w:i w:val="0"/>
                <w:sz w:val="16"/>
              </w:rPr>
              <w:t>Positive today (score +0.87; positive above +0.35, negative below −0.35). No single rule decides it.</w:t>
            </w:r>
          </w:p>
          <w:p>
            <w:pPr>
              <w:spacing w:after="10" w:line="240" w:lineRule="auto"/>
            </w:pPr>
            <w:r>
              <w:rPr>
                <w:b/>
                <w:i w:val="0"/>
                <w:color w:val="1A2E55"/>
                <w:sz w:val="16"/>
              </w:rPr>
              <w:t xml:space="preserve">Rules behind the reading  </w:t>
            </w:r>
            <w:r>
              <w:rPr>
                <w:b w:val="0"/>
                <w:i w:val="0"/>
                <w:sz w:val="16"/>
              </w:rPr>
              <w:t>Up: above usual range +0.24, earnings/dividend headlines +0.20, positive company news +0.18, above average price +0.02. Market-wide: calm market +0.21, political news +0.01 (unreliable, section 5).</w:t>
            </w:r>
          </w:p>
          <w:p>
            <w:pPr>
              <w:spacing w:after="10" w:line="240" w:lineRule="auto"/>
            </w:pPr>
            <w:r>
              <w:rPr>
                <w:b/>
                <w:i w:val="0"/>
                <w:color w:val="1A2E55"/>
                <w:sz w:val="16"/>
              </w:rPr>
              <w:t xml:space="preserve">AI summary of the evidence (checked)  </w:t>
            </w:r>
            <w:r>
              <w:rPr>
                <w:b w:val="0"/>
                <w:i w:val="0"/>
                <w:sz w:val="16"/>
              </w:rPr>
              <w:t>ST Engineering remains positive on the back of a positive geopolitical backdrop, a price above the Bollinger upper band, and a risk‑on macro regime, all reinforced by recent corporate earnings and a growing order book. The Business Times noted a 1.6% rise in shares on Friday, while the company’s defence focus helped lift the STI. However, ML models flag elevated political news volume and a negative political tone as negative risks, and RSI momentum and weekly trend confirmation suggest a possible pullback.</w:t>
            </w:r>
          </w:p>
          <w:p>
            <w:pPr>
              <w:spacing w:after="10" w:line="240" w:lineRule="auto"/>
            </w:pPr>
            <w:r>
              <w:rPr>
                <w:b/>
                <w:i w:val="0"/>
                <w:color w:val="1A2E55"/>
                <w:sz w:val="16"/>
              </w:rPr>
              <w:t xml:space="preserve">Forecast lean  </w:t>
            </w:r>
            <w:r>
              <w:rPr>
                <w:b w:val="0"/>
                <w:i w:val="0"/>
                <w:sz w:val="16"/>
              </w:rPr>
              <w:t>Fall over the next 3 trading days (chance 75%); its normal 3-day swing is ±3.4%. Past record on this stock: about as good as a simple rule or better (✓), still only a weak signal.</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UOB</w:t>
            </w:r>
            <w:r>
              <w:rPr>
                <w:b w:val="0"/>
                <w:i w:val="0"/>
                <w:color w:val="52514E"/>
                <w:sz w:val="17"/>
              </w:rPr>
              <w:t xml:space="preserve">   Banking  ·  -3.0% over 11–17 Aug</w:t>
            </w:r>
          </w:p>
          <w:p>
            <w:pPr>
              <w:spacing w:after="10" w:line="240" w:lineRule="auto"/>
            </w:pPr>
            <w:r>
              <w:rPr>
                <w:b/>
                <w:i w:val="0"/>
                <w:color w:val="1A2E55"/>
                <w:sz w:val="16"/>
              </w:rPr>
              <w:t xml:space="preserve">In short (AI-written, checked)  </w:t>
            </w:r>
            <w:r>
              <w:rPr>
                <w:b w:val="0"/>
                <w:i w:val="0"/>
                <w:sz w:val="16"/>
              </w:rPr>
              <w:t>UOB fell over 11–17 Aug. The news today is mixed and not yet in the price, with no company story to explain the move. The forecast model expects a rise, but its record is only a weak signal.</w:t>
            </w:r>
          </w:p>
          <w:p>
            <w:pPr>
              <w:spacing w:after="10" w:line="240" w:lineRule="auto"/>
            </w:pPr>
            <w:r>
              <w:rPr>
                <w:b/>
                <w:i w:val="0"/>
                <w:color w:val="1A2E55"/>
                <w:sz w:val="16"/>
              </w:rPr>
              <w:t xml:space="preserve">What happened  </w:t>
            </w:r>
            <w:r>
              <w:rPr>
                <w:b w:val="0"/>
                <w:i w:val="0"/>
                <w:sz w:val="16"/>
              </w:rPr>
              <w:t>Fell 3.0% over 11–17 Aug, most of it on Tue 11 Aug (-2.6%). Today +0.5%.</w:t>
            </w:r>
          </w:p>
          <w:p>
            <w:pPr>
              <w:spacing w:after="10" w:line="240" w:lineRule="auto"/>
            </w:pPr>
            <w:r>
              <w:rPr>
                <w:b/>
                <w:i w:val="0"/>
                <w:color w:val="1A2E55"/>
                <w:sz w:val="16"/>
              </w:rPr>
              <w:t xml:space="preserve">Today: news vs price  </w:t>
            </w:r>
            <w:r>
              <w:rPr>
                <w:b w:val="0"/>
                <w:i w:val="0"/>
                <w:sz w:val="16"/>
              </w:rPr>
              <w:t>Positive reading, but the price rose 0.5%, within a normal day's ±0.6%: the news has not shown up in the price. The forecast model still expects that direction. (Pattern: Muted, pending.)</w:t>
            </w:r>
          </w:p>
          <w:p>
            <w:pPr>
              <w:spacing w:after="10" w:line="240" w:lineRule="auto"/>
            </w:pPr>
            <w:r>
              <w:rPr>
                <w:b/>
                <w:i w:val="0"/>
                <w:color w:val="1A2E55"/>
                <w:sz w:val="16"/>
              </w:rPr>
              <w:t xml:space="preserve">Last 5 days in context  </w:t>
            </w:r>
            <w:r>
              <w:rPr>
                <w:b w:val="0"/>
                <w:i w:val="0"/>
                <w:sz w:val="16"/>
              </w:rPr>
              <w:t>Company news collected today was mixed; the price fell 3.0% over 11–17 Aug, its 2 sector peers +3.7% on average, and the 15 stocks +1.5% on average. So there is no company story in the news, and the stock moved against the market; sector or wider news, outside this report's sources, is the place to look.</w:t>
            </w:r>
          </w:p>
          <w:p>
            <w:pPr>
              <w:spacing w:after="10" w:line="240" w:lineRule="auto"/>
            </w:pPr>
            <w:r>
              <w:rPr>
                <w:b/>
                <w:i w:val="0"/>
                <w:color w:val="1A2E55"/>
                <w:sz w:val="16"/>
              </w:rPr>
              <w:t xml:space="preserve">News today  </w:t>
            </w:r>
            <w:r>
              <w:rPr>
                <w:b w:val="0"/>
                <w:i w:val="0"/>
                <w:sz w:val="16"/>
              </w:rPr>
              <w:t>49 articles collected today: 17 positive, 16 negative, 16 neutral (mixed). Event tags: dividend, earnings, merger or acquisition, upgrade.</w:t>
            </w:r>
          </w:p>
          <w:p>
            <w:pPr>
              <w:spacing w:after="10" w:line="240" w:lineRule="auto"/>
            </w:pPr>
            <w:r>
              <w:rPr>
                <w:b/>
                <w:i w:val="0"/>
                <w:color w:val="1A2E55"/>
                <w:sz w:val="16"/>
              </w:rPr>
              <w:t xml:space="preserve">Headlines  </w:t>
            </w:r>
            <w:r>
              <w:rPr>
                <w:b w:val="0"/>
                <w:i w:val="0"/>
                <w:sz w:val="16"/>
              </w:rPr>
              <w:t>+ “DBS vs OCBC vs UOB: Which Bank Delivered the Best Results and Dividend?” (The Smart Investor, 10 Aug)   − “Stocks to watch: UOB, OCBC, StarHub, SGX, Yangzijiang Shipbuilding, Venture, JustCo” (The Business Times, 07 Aug)</w:t>
            </w:r>
          </w:p>
          <w:p>
            <w:pPr>
              <w:spacing w:after="10" w:line="240" w:lineRule="auto"/>
            </w:pPr>
            <w:r>
              <w:rPr>
                <w:b/>
                <w:i w:val="0"/>
                <w:color w:val="1A2E55"/>
                <w:sz w:val="16"/>
              </w:rPr>
              <w:t xml:space="preserve">Price chart  </w:t>
            </w:r>
            <w:r>
              <w:rPr>
                <w:b w:val="0"/>
                <w:i w:val="0"/>
                <w:sz w:val="16"/>
              </w:rPr>
              <w:t>RSI 46, between 30 and 70: no unusually fast move; weekly trend up; price above its volume-weighted average.</w:t>
            </w:r>
          </w:p>
          <w:p>
            <w:pPr>
              <w:spacing w:after="10" w:line="240" w:lineRule="auto"/>
            </w:pPr>
            <w:r>
              <w:rPr>
                <w:b/>
                <w:i w:val="0"/>
                <w:color w:val="1A2E55"/>
                <w:sz w:val="16"/>
              </w:rPr>
              <w:t xml:space="preserve">News &amp; signals reading  </w:t>
            </w:r>
            <w:r>
              <w:rPr>
                <w:b w:val="0"/>
                <w:i w:val="0"/>
                <w:sz w:val="16"/>
              </w:rPr>
              <w:t>Positive today (score +0.59; positive above +0.35, negative below −0.35), and on 1 of the 1 earlier recorded day. No single rule decides it.</w:t>
            </w:r>
          </w:p>
          <w:p>
            <w:pPr>
              <w:spacing w:after="10" w:line="240" w:lineRule="auto"/>
            </w:pPr>
            <w:r>
              <w:rPr>
                <w:b/>
                <w:i w:val="0"/>
                <w:color w:val="1A2E55"/>
                <w:sz w:val="16"/>
              </w:rPr>
              <w:t xml:space="preserve">Rules behind the reading  </w:t>
            </w:r>
            <w:r>
              <w:rPr>
                <w:b w:val="0"/>
                <w:i w:val="0"/>
                <w:sz w:val="16"/>
              </w:rPr>
              <w:t>Up: earnings/dividend headlines +0.20, weekly trend up +0.15, above average price +0.02. Market-wide: calm market +0.21, political news +0.01 (unreliable, section 5).</w:t>
            </w:r>
          </w:p>
          <w:p>
            <w:pPr>
              <w:spacing w:after="10" w:line="240" w:lineRule="auto"/>
            </w:pPr>
            <w:r>
              <w:rPr>
                <w:b/>
                <w:i w:val="0"/>
                <w:color w:val="1A2E55"/>
                <w:sz w:val="16"/>
              </w:rPr>
              <w:t xml:space="preserve">AI summary of the evidence (checked)  </w:t>
            </w:r>
            <w:r>
              <w:rPr>
                <w:b w:val="0"/>
                <w:i w:val="0"/>
                <w:sz w:val="16"/>
              </w:rPr>
              <w:t>UOB maintains a positive stance driven by a favorable geopolitical backdrop, a risk‑on macro regime, and recent corporate events such as the record all‑time high of $39.20 and robust dividend payouts. Technical confirmation from price trading above VWAP and weekly timeframe analysis further support the upside bias. However, elevated political news volume—highlighted by commodity selloffs and geopolitical tensions—introduces negative pressure, and the RandomForest model flags a negative outlook while the LogReg model remains positive. Despite these contradictions, the overall confidence remains strong at 0.70, reflecting the dominant positive signals from both rule‑based analysis and ML-model‑derived price momentum.</w:t>
            </w:r>
          </w:p>
          <w:p>
            <w:pPr>
              <w:spacing w:after="10" w:line="240" w:lineRule="auto"/>
            </w:pPr>
            <w:r>
              <w:rPr>
                <w:b/>
                <w:i w:val="0"/>
                <w:color w:val="1A2E55"/>
                <w:sz w:val="16"/>
              </w:rPr>
              <w:t xml:space="preserve">Forecast lean  </w:t>
            </w:r>
            <w:r>
              <w:rPr>
                <w:b w:val="0"/>
                <w:i w:val="0"/>
                <w:sz w:val="16"/>
              </w:rPr>
              <w:t>Rise over the next 3 trading days (chance 97%); its normal 3-day swing is ±1.6%. Past record on this stock: about as good as a simple rule or better (✓), still only a weak signal.</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2A78D6"/>
            </w:tcBorders>
          </w:tcPr>
          <w:p>
            <w:r>
              <w:rPr>
                <w:b/>
                <w:i w:val="0"/>
                <w:color w:val="1A2E55"/>
                <w:sz w:val="21"/>
              </w:rPr>
              <w:t>Singtel</w:t>
            </w:r>
            <w:r>
              <w:rPr>
                <w:b w:val="0"/>
                <w:i w:val="0"/>
                <w:color w:val="52514E"/>
                <w:sz w:val="17"/>
              </w:rPr>
              <w:t xml:space="preserve">   Telecommunications  ·  +3.7% over 11–17 Aug</w:t>
            </w:r>
          </w:p>
          <w:p>
            <w:pPr>
              <w:spacing w:after="10" w:line="240" w:lineRule="auto"/>
            </w:pPr>
            <w:r>
              <w:rPr>
                <w:b/>
                <w:i w:val="0"/>
                <w:color w:val="1A2E55"/>
                <w:sz w:val="16"/>
              </w:rPr>
              <w:t xml:space="preserve">In short (AI-written, checked)  </w:t>
            </w:r>
            <w:r>
              <w:rPr>
                <w:b w:val="0"/>
                <w:i w:val="0"/>
                <w:sz w:val="16"/>
              </w:rPr>
              <w:t>Singtel rose over 11–17 Aug. The news today is mixed and not yet in the price, with no company story to explain the move. The forecast model expects a fall, but its record is only a weak signal.</w:t>
            </w:r>
          </w:p>
          <w:p>
            <w:pPr>
              <w:spacing w:after="10" w:line="240" w:lineRule="auto"/>
            </w:pPr>
            <w:r>
              <w:rPr>
                <w:b/>
                <w:i w:val="0"/>
                <w:color w:val="1A2E55"/>
                <w:sz w:val="16"/>
              </w:rPr>
              <w:t xml:space="preserve">What happened  </w:t>
            </w:r>
            <w:r>
              <w:rPr>
                <w:b w:val="0"/>
                <w:i w:val="0"/>
                <w:sz w:val="16"/>
              </w:rPr>
              <w:t>Rose 3.7% over 11–17 Aug, including +4.7% on Fri 14 Aug. Today +0.2%.</w:t>
            </w:r>
          </w:p>
          <w:p>
            <w:pPr>
              <w:spacing w:after="10" w:line="240" w:lineRule="auto"/>
            </w:pPr>
            <w:r>
              <w:rPr>
                <w:b/>
                <w:i w:val="0"/>
                <w:color w:val="1A2E55"/>
                <w:sz w:val="16"/>
              </w:rPr>
              <w:t xml:space="preserve">Today: news vs price  </w:t>
            </w:r>
            <w:r>
              <w:rPr>
                <w:b w:val="0"/>
                <w:i w:val="0"/>
                <w:sz w:val="16"/>
              </w:rPr>
              <w:t>Positive reading, but the price rose 0.2%, within a normal day's ±0.6%: the news has not shown up in the price. The forecast model expects the opposite. (Pattern: Muted, fading.)</w:t>
            </w:r>
          </w:p>
          <w:p>
            <w:pPr>
              <w:spacing w:after="10" w:line="240" w:lineRule="auto"/>
            </w:pPr>
            <w:r>
              <w:rPr>
                <w:b/>
                <w:i w:val="0"/>
                <w:color w:val="1A2E55"/>
                <w:sz w:val="16"/>
              </w:rPr>
              <w:t xml:space="preserve">Last 5 days in context  </w:t>
            </w:r>
            <w:r>
              <w:rPr>
                <w:b w:val="0"/>
                <w:i w:val="0"/>
                <w:sz w:val="16"/>
              </w:rPr>
              <w:t>Company news collected today was mixed; the price rose 3.7% over 11–17 Aug, against +1.5% for the 15 stocks on average. So there is no company story in the news, and the stock moved more than the market; sector or wider news, outside this report's sources, is the place to look.</w:t>
            </w:r>
          </w:p>
          <w:p>
            <w:pPr>
              <w:spacing w:after="10" w:line="240" w:lineRule="auto"/>
            </w:pPr>
            <w:r>
              <w:rPr>
                <w:b/>
                <w:i w:val="0"/>
                <w:color w:val="1A2E55"/>
                <w:sz w:val="16"/>
              </w:rPr>
              <w:t xml:space="preserve">News today  </w:t>
            </w:r>
            <w:r>
              <w:rPr>
                <w:b w:val="0"/>
                <w:i w:val="0"/>
                <w:sz w:val="16"/>
              </w:rPr>
              <w:t>48 articles collected today: 16 positive, 15 negative, 17 neutral (mixed). Event tags: dividend, earnings, merger or acquisition, management change, upgrade.</w:t>
            </w:r>
          </w:p>
          <w:p>
            <w:pPr>
              <w:spacing w:after="10" w:line="240" w:lineRule="auto"/>
            </w:pPr>
            <w:r>
              <w:rPr>
                <w:b/>
                <w:i w:val="0"/>
                <w:color w:val="1A2E55"/>
                <w:sz w:val="16"/>
              </w:rPr>
              <w:t xml:space="preserve">Headlines  </w:t>
            </w:r>
            <w:r>
              <w:rPr>
                <w:b w:val="0"/>
                <w:i w:val="0"/>
                <w:sz w:val="16"/>
              </w:rPr>
              <w:t>− “Singtel shares close up 4.7% after underlying Q1 net profit grows 21%” (Business Times, 14 Aug)</w:t>
            </w:r>
          </w:p>
          <w:p>
            <w:pPr>
              <w:spacing w:after="10" w:line="240" w:lineRule="auto"/>
            </w:pPr>
            <w:r>
              <w:rPr>
                <w:b/>
                <w:i w:val="0"/>
                <w:color w:val="1A2E55"/>
                <w:sz w:val="16"/>
              </w:rPr>
              <w:t xml:space="preserve">Price chart  </w:t>
            </w:r>
            <w:r>
              <w:rPr>
                <w:b w:val="0"/>
                <w:i w:val="0"/>
                <w:sz w:val="16"/>
              </w:rPr>
              <w:t>RSI 59, between 30 and 70: no unusually fast move; short-term trend turned up (MACD); price above its volume-weighted average.</w:t>
            </w:r>
          </w:p>
          <w:p>
            <w:pPr>
              <w:spacing w:after="10" w:line="240" w:lineRule="auto"/>
            </w:pPr>
            <w:r>
              <w:rPr>
                <w:b/>
                <w:i w:val="0"/>
                <w:color w:val="1A2E55"/>
                <w:sz w:val="16"/>
              </w:rPr>
              <w:t xml:space="preserve">News &amp; signals reading  </w:t>
            </w:r>
            <w:r>
              <w:rPr>
                <w:b w:val="0"/>
                <w:i w:val="0"/>
                <w:sz w:val="16"/>
              </w:rPr>
              <w:t>Positive today (score +0.55; positive above +0.35, negative below −0.35). Without 'Earnings/dividend headlines' it would be neutral.</w:t>
            </w:r>
          </w:p>
          <w:p>
            <w:pPr>
              <w:spacing w:after="10" w:line="240" w:lineRule="auto"/>
            </w:pPr>
            <w:r>
              <w:rPr>
                <w:b/>
                <w:i w:val="0"/>
                <w:color w:val="1A2E55"/>
                <w:sz w:val="16"/>
              </w:rPr>
              <w:t xml:space="preserve">Rules behind the reading  </w:t>
            </w:r>
            <w:r>
              <w:rPr>
                <w:b w:val="0"/>
                <w:i w:val="0"/>
                <w:sz w:val="16"/>
              </w:rPr>
              <w:t>Up: earnings/dividend headlines +0.20, trend turned up +0.10, above average price +0.02. Market-wide: calm market +0.21, political news +0.01 (unreliable, section 5).</w:t>
            </w:r>
          </w:p>
          <w:p>
            <w:pPr>
              <w:spacing w:after="10" w:line="240" w:lineRule="auto"/>
            </w:pPr>
            <w:r>
              <w:rPr>
                <w:b/>
                <w:i w:val="0"/>
                <w:color w:val="1A2E55"/>
                <w:sz w:val="16"/>
              </w:rPr>
              <w:t xml:space="preserve">Forecast lean  </w:t>
            </w:r>
            <w:r>
              <w:rPr>
                <w:b w:val="0"/>
                <w:i w:val="0"/>
                <w:sz w:val="16"/>
              </w:rPr>
              <w:t>Fall over the next 3 trading days (chance &gt;99%); its normal 3-day swing is ±2.6%. Past record on this stock: about as good as a simple rule or better (✓), still only a weak signal.</w:t>
            </w:r>
          </w:p>
        </w:tc>
      </w:tr>
    </w:tbl>
    <w:p>
      <w:pPr>
        <w:keepNext/>
        <w:pageBreakBefore/>
        <w:spacing w:before="0" w:after="40"/>
        <w:pBdr>
          <w:bottom w:val="single" w:sz="6" w:space="2" w:color="CDE2FB"/>
        </w:pBdr>
      </w:pPr>
      <w:r>
        <w:rPr>
          <w:b/>
          <w:i w:val="0"/>
          <w:color w:val="1A2E55"/>
          <w:sz w:val="26"/>
        </w:rPr>
        <w:t>3 · The next 3 trading days: how much each stock may move</w:t>
      </w:r>
    </w:p>
    <w:p>
      <w:pPr>
        <w:keepNext/>
      </w:pPr>
      <w:r>
        <w:rPr>
          <w:b w:val="0"/>
          <w:i w:val="0"/>
          <w:color w:val="52514E"/>
          <w:sz w:val="17"/>
        </w:rPr>
        <w:t>The normal swing and the calmer stocks have held up in testing. The up-or-down lean has not: even with ✓, a rise-or-fall call is no better than a guess.</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2664"/>
        <w:gridCol w:w="1368"/>
        <w:gridCol w:w="1440"/>
        <w:gridCol w:w="1440"/>
        <w:gridCol w:w="1008"/>
        <w:gridCol w:w="2016"/>
      </w:tblGrid>
      <w:tr>
        <w:tc>
          <w:tcPr>
            <w:tcW w:type="dxa" w:w="2664"/>
            <w:shd w:val="clear" w:color="auto" w:fill="1A2E55"/>
          </w:tcPr>
          <w:p>
            <w:pPr>
              <w:keepNext/>
            </w:pPr>
            <w:r>
              <w:rPr>
                <w:b/>
                <w:i w:val="0"/>
                <w:color w:val="FFFFFF"/>
                <w:sz w:val="15"/>
              </w:rPr>
              <w:t>Stock</w:t>
            </w:r>
          </w:p>
        </w:tc>
        <w:tc>
          <w:tcPr>
            <w:tcW w:type="dxa" w:w="1368"/>
            <w:shd w:val="clear" w:color="auto" w:fill="1A2E55"/>
          </w:tcPr>
          <w:p>
            <w:pPr>
              <w:keepNext/>
              <w:jc w:val="right"/>
            </w:pPr>
            <w:r>
              <w:rPr>
                <w:b/>
                <w:i w:val="0"/>
                <w:color w:val="FFFFFF"/>
                <w:sz w:val="15"/>
              </w:rPr>
              <w:t>Normal 3-day swing</w:t>
            </w:r>
          </w:p>
        </w:tc>
        <w:tc>
          <w:tcPr>
            <w:tcW w:type="dxa" w:w="1440"/>
            <w:shd w:val="clear" w:color="auto" w:fill="1A2E55"/>
          </w:tcPr>
          <w:p>
            <w:pPr>
              <w:keepNext/>
            </w:pPr>
            <w:r>
              <w:rPr>
                <w:b/>
                <w:i w:val="0"/>
                <w:color w:val="FFFFFF"/>
                <w:sz w:val="15"/>
              </w:rPr>
              <w:t>Calmer than most</w:t>
            </w:r>
          </w:p>
        </w:tc>
        <w:tc>
          <w:tcPr>
            <w:tcW w:type="dxa" w:w="1440"/>
            <w:shd w:val="clear" w:color="auto" w:fill="1A2E55"/>
          </w:tcPr>
          <w:p>
            <w:pPr>
              <w:keepNext/>
            </w:pPr>
            <w:r>
              <w:rPr>
                <w:b/>
                <w:i w:val="0"/>
                <w:color w:val="FFFFFF"/>
                <w:sz w:val="15"/>
              </w:rPr>
              <w:t>Forecast lean</w:t>
            </w:r>
          </w:p>
        </w:tc>
        <w:tc>
          <w:tcPr>
            <w:tcW w:type="dxa" w:w="1008"/>
            <w:shd w:val="clear" w:color="auto" w:fill="1A2E55"/>
          </w:tcPr>
          <w:p>
            <w:pPr>
              <w:keepNext/>
              <w:jc w:val="right"/>
            </w:pPr>
            <w:r>
              <w:rPr>
                <w:b/>
                <w:i w:val="0"/>
                <w:color w:val="FFFFFF"/>
                <w:sz w:val="15"/>
              </w:rPr>
              <w:t>Chance</w:t>
            </w:r>
          </w:p>
        </w:tc>
        <w:tc>
          <w:tcPr>
            <w:tcW w:type="dxa" w:w="2016"/>
            <w:shd w:val="clear" w:color="auto" w:fill="1A2E55"/>
          </w:tcPr>
          <w:p>
            <w:pPr>
              <w:keepNext/>
            </w:pPr>
            <w:r>
              <w:rPr>
                <w:b/>
                <w:i w:val="0"/>
                <w:color w:val="FFFFFF"/>
                <w:sz w:val="15"/>
              </w:rPr>
              <w:t>Record vs simple rule</w:t>
            </w:r>
          </w:p>
        </w:tc>
      </w:tr>
      <w:tr>
        <w:tc>
          <w:tcPr>
            <w:tcW w:type="dxa" w:w="2664"/>
          </w:tcPr>
          <w:p>
            <w:pPr>
              <w:keepNext/>
            </w:pPr>
            <w:r>
              <w:rPr>
                <w:b w:val="0"/>
                <w:i w:val="0"/>
                <w:sz w:val="16"/>
              </w:rPr>
              <w:t>Mapletree Industrial</w:t>
            </w:r>
          </w:p>
        </w:tc>
        <w:tc>
          <w:tcPr>
            <w:tcW w:type="dxa" w:w="1368"/>
          </w:tcPr>
          <w:p>
            <w:pPr>
              <w:keepNext/>
              <w:jc w:val="right"/>
            </w:pPr>
            <w:r>
              <w:rPr>
                <w:b w:val="0"/>
                <w:i w:val="0"/>
                <w:sz w:val="16"/>
              </w:rPr>
              <w:t>±0.7%</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&gt;99%</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ComfortDelGro</w:t>
            </w:r>
          </w:p>
        </w:tc>
        <w:tc>
          <w:tcPr>
            <w:tcW w:type="dxa" w:w="1368"/>
            <w:shd w:val="clear" w:color="auto" w:fill="F7F7F5"/>
          </w:tcPr>
          <w:p>
            <w:pPr>
              <w:keepNext/>
              <w:jc w:val="right"/>
            </w:pPr>
            <w:r>
              <w:rPr>
                <w:b w:val="0"/>
                <w:i w:val="0"/>
                <w:sz w:val="16"/>
              </w:rPr>
              <w:t>±1.6%</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69%</w:t>
            </w:r>
          </w:p>
        </w:tc>
        <w:tc>
          <w:tcPr>
            <w:tcW w:type="dxa" w:w="2016"/>
            <w:shd w:val="clear" w:color="auto" w:fill="E4F3E4"/>
          </w:tcPr>
          <w:p>
            <w:pPr>
              <w:keepNext/>
            </w:pPr>
            <w:r>
              <w:rPr>
                <w:b/>
                <w:i w:val="0"/>
                <w:color w:val="0A6E0A"/>
                <w:sz w:val="16"/>
              </w:rPr>
              <w:t>too new</w:t>
            </w:r>
          </w:p>
        </w:tc>
      </w:tr>
      <w:tr>
        <w:tc>
          <w:tcPr>
            <w:tcW w:type="dxa" w:w="2664"/>
          </w:tcPr>
          <w:p>
            <w:pPr>
              <w:keepNext/>
            </w:pPr>
            <w:r>
              <w:rPr>
                <w:b w:val="0"/>
                <w:i w:val="0"/>
                <w:sz w:val="16"/>
              </w:rPr>
              <w:t>UOB</w:t>
            </w:r>
          </w:p>
        </w:tc>
        <w:tc>
          <w:tcPr>
            <w:tcW w:type="dxa" w:w="1368"/>
          </w:tcPr>
          <w:p>
            <w:pPr>
              <w:keepNext/>
              <w:jc w:val="right"/>
            </w:pPr>
            <w:r>
              <w:rPr>
                <w:b w:val="0"/>
                <w:i w:val="0"/>
                <w:sz w:val="16"/>
              </w:rPr>
              <w:t>±1.6%</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97%</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CapitaLand Integ. Comm. Trust</w:t>
            </w:r>
          </w:p>
        </w:tc>
        <w:tc>
          <w:tcPr>
            <w:tcW w:type="dxa" w:w="1368"/>
            <w:shd w:val="clear" w:color="auto" w:fill="F7F7F5"/>
          </w:tcPr>
          <w:p>
            <w:pPr>
              <w:keepNext/>
              <w:jc w:val="right"/>
            </w:pPr>
            <w:r>
              <w:rPr>
                <w:b w:val="0"/>
                <w:i w:val="0"/>
                <w:sz w:val="16"/>
              </w:rPr>
              <w:t>±1.7%</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99%</w:t>
            </w:r>
          </w:p>
        </w:tc>
        <w:tc>
          <w:tcPr>
            <w:tcW w:type="dxa" w:w="2016"/>
            <w:shd w:val="clear" w:color="auto" w:fill="E4F3E4"/>
          </w:tcPr>
          <w:p>
            <w:pPr>
              <w:keepNext/>
            </w:pPr>
            <w:r>
              <w:rPr>
                <w:b/>
                <w:i w:val="0"/>
                <w:color w:val="0A6E0A"/>
                <w:sz w:val="16"/>
              </w:rPr>
              <w:t>too new</w:t>
            </w:r>
          </w:p>
        </w:tc>
      </w:tr>
      <w:tr>
        <w:tc>
          <w:tcPr>
            <w:tcW w:type="dxa" w:w="2664"/>
          </w:tcPr>
          <w:p>
            <w:pPr>
              <w:keepNext/>
            </w:pPr>
            <w:r>
              <w:rPr>
                <w:b w:val="0"/>
                <w:i w:val="0"/>
                <w:sz w:val="16"/>
              </w:rPr>
              <w:t>Ascendas REIT</w:t>
            </w:r>
          </w:p>
        </w:tc>
        <w:tc>
          <w:tcPr>
            <w:tcW w:type="dxa" w:w="1368"/>
          </w:tcPr>
          <w:p>
            <w:pPr>
              <w:keepNext/>
              <w:jc w:val="right"/>
            </w:pPr>
            <w:r>
              <w:rPr>
                <w:b w:val="0"/>
                <w:i w:val="0"/>
                <w:sz w:val="16"/>
              </w:rPr>
              <w:t>±1.7%</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84%</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SGX Group</w:t>
            </w:r>
          </w:p>
        </w:tc>
        <w:tc>
          <w:tcPr>
            <w:tcW w:type="dxa" w:w="1368"/>
            <w:shd w:val="clear" w:color="auto" w:fill="F7F7F5"/>
          </w:tcPr>
          <w:p>
            <w:pPr>
              <w:keepNext/>
              <w:jc w:val="right"/>
            </w:pPr>
            <w:r>
              <w:rPr>
                <w:b w:val="0"/>
                <w:i w:val="0"/>
                <w:sz w:val="16"/>
              </w:rPr>
              <w:t>±1.7%</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95%</w:t>
            </w:r>
          </w:p>
        </w:tc>
        <w:tc>
          <w:tcPr>
            <w:tcW w:type="dxa" w:w="2016"/>
            <w:shd w:val="clear" w:color="auto" w:fill="E4F3E4"/>
          </w:tcPr>
          <w:p>
            <w:pPr>
              <w:keepNext/>
            </w:pPr>
            <w:r>
              <w:rPr>
                <w:b/>
                <w:i w:val="0"/>
                <w:color w:val="0A6E0A"/>
                <w:sz w:val="16"/>
              </w:rPr>
              <w:t>too new</w:t>
            </w:r>
          </w:p>
        </w:tc>
      </w:tr>
      <w:tr>
        <w:tc>
          <w:tcPr>
            <w:tcW w:type="dxa" w:w="2664"/>
          </w:tcPr>
          <w:p>
            <w:pPr>
              <w:keepNext/>
            </w:pPr>
            <w:r>
              <w:rPr>
                <w:b w:val="0"/>
                <w:i w:val="0"/>
                <w:sz w:val="16"/>
              </w:rPr>
              <w:t>Mapletree Pan Asia Comm. Trust</w:t>
            </w:r>
          </w:p>
        </w:tc>
        <w:tc>
          <w:tcPr>
            <w:tcW w:type="dxa" w:w="1368"/>
          </w:tcPr>
          <w:p>
            <w:pPr>
              <w:keepNext/>
              <w:jc w:val="right"/>
            </w:pPr>
            <w:r>
              <w:rPr>
                <w:b w:val="0"/>
                <w:i w:val="0"/>
                <w:sz w:val="16"/>
              </w:rPr>
              <w:t>±1.9%</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99%</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DBS Group</w:t>
            </w:r>
          </w:p>
        </w:tc>
        <w:tc>
          <w:tcPr>
            <w:tcW w:type="dxa" w:w="1368"/>
            <w:shd w:val="clear" w:color="auto" w:fill="F7F7F5"/>
          </w:tcPr>
          <w:p>
            <w:pPr>
              <w:keepNext/>
              <w:jc w:val="right"/>
            </w:pPr>
            <w:r>
              <w:rPr>
                <w:b w:val="0"/>
                <w:i w:val="0"/>
                <w:sz w:val="16"/>
              </w:rPr>
              <w:t>±1.9%</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99%</w:t>
            </w:r>
          </w:p>
        </w:tc>
        <w:tc>
          <w:tcPr>
            <w:tcW w:type="dxa" w:w="2016"/>
            <w:shd w:val="clear" w:color="auto" w:fill="E4F3E4"/>
          </w:tcPr>
          <w:p>
            <w:pPr>
              <w:keepNext/>
            </w:pPr>
            <w:r>
              <w:rPr>
                <w:b/>
                <w:i w:val="0"/>
                <w:color w:val="0A6E0A"/>
                <w:sz w:val="16"/>
              </w:rPr>
              <w:t>too new</w:t>
            </w:r>
          </w:p>
        </w:tc>
      </w:tr>
      <w:tr>
        <w:tc>
          <w:tcPr>
            <w:tcW w:type="dxa" w:w="2664"/>
          </w:tcPr>
          <w:p>
            <w:pPr>
              <w:keepNext/>
            </w:pPr>
            <w:r>
              <w:rPr>
                <w:b w:val="0"/>
                <w:i w:val="0"/>
                <w:sz w:val="16"/>
              </w:rPr>
              <w:t>Raffles Medical Group</w:t>
            </w:r>
          </w:p>
        </w:tc>
        <w:tc>
          <w:tcPr>
            <w:tcW w:type="dxa" w:w="1368"/>
          </w:tcPr>
          <w:p>
            <w:pPr>
              <w:keepNext/>
              <w:jc w:val="right"/>
            </w:pPr>
            <w:r>
              <w:rPr>
                <w:b w:val="0"/>
                <w:i w:val="0"/>
                <w:sz w:val="16"/>
              </w:rPr>
              <w:t>±1.9%</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99%</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Singtel</w:t>
            </w:r>
          </w:p>
        </w:tc>
        <w:tc>
          <w:tcPr>
            <w:tcW w:type="dxa" w:w="1368"/>
            <w:shd w:val="clear" w:color="auto" w:fill="F7F7F5"/>
          </w:tcPr>
          <w:p>
            <w:pPr>
              <w:keepNext/>
              <w:jc w:val="right"/>
            </w:pPr>
            <w:r>
              <w:rPr>
                <w:b w:val="0"/>
                <w:i w:val="0"/>
                <w:sz w:val="16"/>
              </w:rPr>
              <w:t>±2.6%</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A12D2C"/>
                <w:sz w:val="16"/>
              </w:rPr>
              <w:t>Fall</w:t>
            </w:r>
          </w:p>
        </w:tc>
        <w:tc>
          <w:tcPr>
            <w:tcW w:type="dxa" w:w="1008"/>
            <w:shd w:val="clear" w:color="auto" w:fill="F7F7F5"/>
          </w:tcPr>
          <w:p>
            <w:pPr>
              <w:keepNext/>
              <w:jc w:val="right"/>
            </w:pPr>
            <w:r>
              <w:rPr>
                <w:b w:val="0"/>
                <w:i w:val="0"/>
                <w:sz w:val="16"/>
              </w:rPr>
              <w:t>&gt;99%</w:t>
            </w:r>
          </w:p>
        </w:tc>
        <w:tc>
          <w:tcPr>
            <w:tcW w:type="dxa" w:w="2016"/>
            <w:shd w:val="clear" w:color="auto" w:fill="E4F3E4"/>
          </w:tcPr>
          <w:p>
            <w:pPr>
              <w:keepNext/>
            </w:pPr>
            <w:r>
              <w:rPr>
                <w:b/>
                <w:i w:val="0"/>
                <w:color w:val="0A6E0A"/>
                <w:sz w:val="16"/>
              </w:rPr>
              <w:t>too new</w:t>
            </w:r>
          </w:p>
        </w:tc>
      </w:tr>
      <w:tr>
        <w:tc>
          <w:tcPr>
            <w:tcW w:type="dxa" w:w="2664"/>
          </w:tcPr>
          <w:p>
            <w:pPr>
              <w:keepNext/>
            </w:pPr>
            <w:r>
              <w:rPr>
                <w:b w:val="0"/>
                <w:i w:val="0"/>
                <w:sz w:val="16"/>
              </w:rPr>
              <w:t>OCBC Bank</w:t>
            </w:r>
          </w:p>
        </w:tc>
        <w:tc>
          <w:tcPr>
            <w:tcW w:type="dxa" w:w="1368"/>
          </w:tcPr>
          <w:p>
            <w:pPr>
              <w:keepNext/>
              <w:jc w:val="right"/>
            </w:pPr>
            <w:r>
              <w:rPr>
                <w:b w:val="0"/>
                <w:i w:val="0"/>
                <w:sz w:val="16"/>
              </w:rPr>
              <w:t>±2.7%</w:t>
            </w:r>
          </w:p>
        </w:tc>
        <w:tc>
          <w:tcPr>
            <w:tcW w:type="dxa" w:w="1440"/>
          </w:tcPr>
          <w:p>
            <w:pPr>
              <w:keepNext/>
            </w:pPr>
            <w:r>
              <w:rPr>
                <w:b w:val="0"/>
                <w:i w:val="0"/>
                <w:sz w:val="16"/>
              </w:rPr>
            </w:r>
          </w:p>
        </w:tc>
        <w:tc>
          <w:tcPr>
            <w:tcW w:type="dxa" w:w="1440"/>
          </w:tcPr>
          <w:p>
            <w:pPr>
              <w:keepNext/>
            </w:pPr>
            <w:r>
              <w:rPr>
                <w:b w:val="0"/>
                <w:i w:val="0"/>
                <w:color w:val="A12D2C"/>
                <w:sz w:val="16"/>
              </w:rPr>
              <w:t>Fall</w:t>
            </w:r>
          </w:p>
        </w:tc>
        <w:tc>
          <w:tcPr>
            <w:tcW w:type="dxa" w:w="1008"/>
          </w:tcPr>
          <w:p>
            <w:pPr>
              <w:keepNext/>
              <w:jc w:val="right"/>
            </w:pPr>
            <w:r>
              <w:rPr>
                <w:b w:val="0"/>
                <w:i w:val="0"/>
                <w:sz w:val="16"/>
              </w:rPr>
              <w:t>79%</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Wilmar Intl</w:t>
            </w:r>
          </w:p>
        </w:tc>
        <w:tc>
          <w:tcPr>
            <w:tcW w:type="dxa" w:w="1368"/>
            <w:shd w:val="clear" w:color="auto" w:fill="F7F7F5"/>
          </w:tcPr>
          <w:p>
            <w:pPr>
              <w:keepNext/>
              <w:jc w:val="right"/>
            </w:pPr>
            <w:r>
              <w:rPr>
                <w:b w:val="0"/>
                <w:i w:val="0"/>
                <w:sz w:val="16"/>
              </w:rPr>
              <w:t>±2.9%</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&gt;99%</w:t>
            </w:r>
          </w:p>
        </w:tc>
        <w:tc>
          <w:tcPr>
            <w:tcW w:type="dxa" w:w="2016"/>
            <w:shd w:val="clear" w:color="auto" w:fill="E4F3E4"/>
          </w:tcPr>
          <w:p>
            <w:pPr>
              <w:keepNext/>
            </w:pPr>
            <w:r>
              <w:rPr>
                <w:b/>
                <w:i w:val="0"/>
                <w:color w:val="0A6E0A"/>
                <w:sz w:val="16"/>
              </w:rPr>
              <w:t>too new</w:t>
            </w:r>
          </w:p>
        </w:tc>
      </w:tr>
      <w:tr>
        <w:tc>
          <w:tcPr>
            <w:tcW w:type="dxa" w:w="2664"/>
          </w:tcPr>
          <w:p>
            <w:pPr>
              <w:keepNext/>
            </w:pPr>
            <w:r>
              <w:rPr>
                <w:b w:val="0"/>
                <w:i w:val="0"/>
                <w:sz w:val="16"/>
              </w:rPr>
              <w:t>Sembcorp Industries</w:t>
            </w:r>
          </w:p>
        </w:tc>
        <w:tc>
          <w:tcPr>
            <w:tcW w:type="dxa" w:w="1368"/>
          </w:tcPr>
          <w:p>
            <w:pPr>
              <w:keepNext/>
              <w:jc w:val="right"/>
            </w:pPr>
            <w:r>
              <w:rPr>
                <w:b w:val="0"/>
                <w:i w:val="0"/>
                <w:sz w:val="16"/>
              </w:rPr>
              <w:t>±2.9%</w:t>
            </w:r>
          </w:p>
        </w:tc>
        <w:tc>
          <w:tcPr>
            <w:tcW w:type="dxa" w:w="1440"/>
          </w:tcPr>
          <w:p>
            <w:pPr>
              <w:keepNext/>
            </w:pPr>
            <w:r>
              <w:rPr>
                <w:b w:val="0"/>
                <w:i w:val="0"/>
                <w:sz w:val="16"/>
              </w:rPr>
            </w:r>
          </w:p>
        </w:tc>
        <w:tc>
          <w:tcPr>
            <w:tcW w:type="dxa" w:w="1440"/>
          </w:tcPr>
          <w:p>
            <w:pPr>
              <w:keepNext/>
            </w:pPr>
            <w:r>
              <w:rPr>
                <w:b w:val="0"/>
                <w:i w:val="0"/>
                <w:color w:val="A12D2C"/>
                <w:sz w:val="16"/>
              </w:rPr>
              <w:t>Fall</w:t>
            </w:r>
          </w:p>
        </w:tc>
        <w:tc>
          <w:tcPr>
            <w:tcW w:type="dxa" w:w="1008"/>
          </w:tcPr>
          <w:p>
            <w:pPr>
              <w:keepNext/>
              <w:jc w:val="right"/>
            </w:pPr>
            <w:r>
              <w:rPr>
                <w:b w:val="0"/>
                <w:i w:val="0"/>
                <w:sz w:val="16"/>
              </w:rPr>
              <w:t>91%</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Keppel Corp</w:t>
            </w:r>
          </w:p>
        </w:tc>
        <w:tc>
          <w:tcPr>
            <w:tcW w:type="dxa" w:w="1368"/>
            <w:shd w:val="clear" w:color="auto" w:fill="F7F7F5"/>
          </w:tcPr>
          <w:p>
            <w:pPr>
              <w:keepNext/>
              <w:jc w:val="right"/>
            </w:pPr>
            <w:r>
              <w:rPr>
                <w:b w:val="0"/>
                <w:i w:val="0"/>
                <w:sz w:val="16"/>
              </w:rPr>
              <w:t>±3.1%</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95%</w:t>
            </w:r>
          </w:p>
        </w:tc>
        <w:tc>
          <w:tcPr>
            <w:tcW w:type="dxa" w:w="2016"/>
            <w:shd w:val="clear" w:color="auto" w:fill="E4F3E4"/>
          </w:tcPr>
          <w:p>
            <w:pPr>
              <w:keepNext/>
            </w:pPr>
            <w:r>
              <w:rPr>
                <w:b/>
                <w:i w:val="0"/>
                <w:color w:val="0A6E0A"/>
                <w:sz w:val="16"/>
              </w:rPr>
              <w:t>too new</w:t>
            </w:r>
          </w:p>
        </w:tc>
      </w:tr>
      <w:tr>
        <w:tc>
          <w:tcPr>
            <w:tcW w:type="dxa" w:w="2664"/>
          </w:tcPr>
          <w:p>
            <w:r>
              <w:rPr>
                <w:b w:val="0"/>
                <w:i w:val="0"/>
                <w:sz w:val="16"/>
              </w:rPr>
              <w:t>ST Engineering</w:t>
            </w:r>
          </w:p>
        </w:tc>
        <w:tc>
          <w:tcPr>
            <w:tcW w:type="dxa" w:w="1368"/>
          </w:tcPr>
          <w:p>
            <w:pPr>
              <w:jc w:val="right"/>
            </w:pPr>
            <w:r>
              <w:rPr>
                <w:b w:val="0"/>
                <w:i w:val="0"/>
                <w:sz w:val="16"/>
              </w:rPr>
              <w:t>±3.4%</w:t>
            </w:r>
          </w:p>
        </w:tc>
        <w:tc>
          <w:tcPr>
            <w:tcW w:type="dxa" w:w="1440"/>
          </w:tcPr>
          <w:p>
            <w:r>
              <w:rPr>
                <w:b w:val="0"/>
                <w:i w:val="0"/>
                <w:sz w:val="16"/>
              </w:rPr>
            </w:r>
          </w:p>
        </w:tc>
        <w:tc>
          <w:tcPr>
            <w:tcW w:type="dxa" w:w="1440"/>
          </w:tcPr>
          <w:p>
            <w:r>
              <w:rPr>
                <w:b w:val="0"/>
                <w:i w:val="0"/>
                <w:color w:val="A12D2C"/>
                <w:sz w:val="16"/>
              </w:rPr>
              <w:t>Fall</w:t>
            </w:r>
          </w:p>
        </w:tc>
        <w:tc>
          <w:tcPr>
            <w:tcW w:type="dxa" w:w="1008"/>
          </w:tcPr>
          <w:p>
            <w:pPr>
              <w:jc w:val="right"/>
            </w:pPr>
            <w:r>
              <w:rPr>
                <w:b w:val="0"/>
                <w:i w:val="0"/>
                <w:sz w:val="16"/>
              </w:rPr>
              <w:t>75%</w:t>
            </w:r>
          </w:p>
        </w:tc>
        <w:tc>
          <w:tcPr>
            <w:tcW w:type="dxa" w:w="2016"/>
            <w:shd w:val="clear" w:color="auto" w:fill="E4F3E4"/>
          </w:tcPr>
          <w:p>
            <w:r>
              <w:rPr>
                <w:b/>
                <w:i w:val="0"/>
                <w:color w:val="0A6E0A"/>
                <w:sz w:val="16"/>
              </w:rPr>
              <w:t>too new</w:t>
            </w:r>
          </w:p>
        </w:tc>
      </w:tr>
    </w:tbl>
    <w:p>
      <w:pPr>
        <w:spacing w:after="40"/>
      </w:pPr>
      <w:r>
        <w:rPr>
          <w:b w:val="0"/>
          <w:i w:val="0"/>
          <w:color w:val="52514E"/>
          <w:sz w:val="14"/>
        </w:rPr>
        <w:t>Normal 3-day swing: about 2 times in 3 the 3-day change stays inside it (last 20 trading days). Calmer than most: the five highest chances of no big move. Forecast lean: the model's most likely 3-day outcome (rise above +1.04%, fall below −1.04%, otherwise no big move) and the probability it gave. Record vs simple rule: percentage points more (or fewer) of its calls on this stock that were right over the last 30 days than always guessing the stock's most common past outcome; ✓ no more than 5 points behind, ✗ further behind. Sorted calmest first.</w:t>
      </w:r>
    </w:p>
    <w:p>
      <w:pPr>
        <w:keepNext/>
        <w:spacing w:before="120" w:after="20"/>
      </w:pPr>
      <w:r>
        <w:rPr>
          <w:b/>
          <w:i w:val="0"/>
          <w:color w:val="1A2E55"/>
          <w:sz w:val="21"/>
        </w:rPr>
        <w:t>What these numbers are worth</w:t>
      </w:r>
    </w:p>
    <w:p>
      <w:pPr>
        <w:pStyle w:val="ListBullet"/>
        <w:spacing w:after="40"/>
      </w:pPr>
      <w:r>
        <w:rPr>
          <w:b/>
          <w:i w:val="0"/>
          <w:color w:val="1A2E55"/>
          <w:sz w:val="17"/>
        </w:rPr>
        <w:t xml:space="preserve">Normal 3-day swing. </w:t>
      </w:r>
      <w:r>
        <w:rPr>
          <w:b w:val="0"/>
          <w:i w:val="0"/>
          <w:sz w:val="17"/>
        </w:rPr>
        <w:t>Held 74% of the time in 420 tests (about 68% expected). Use it as a yardstick: a 3-day move bigger than a stock's swing is unusual for that stock and worth checking the news for; it is not a signal by itself.</w:t>
      </w:r>
    </w:p>
    <w:p>
      <w:pPr>
        <w:pStyle w:val="ListBullet"/>
        <w:spacing w:after="40"/>
      </w:pPr>
      <w:r>
        <w:rPr>
          <w:b/>
          <w:i w:val="0"/>
          <w:color w:val="1A2E55"/>
          <w:sz w:val="17"/>
        </w:rPr>
        <w:t xml:space="preserve">Calmer than most. </w:t>
      </w:r>
      <w:r>
        <w:rPr>
          <w:b w:val="0"/>
          <w:i w:val="0"/>
          <w:sz w:val="17"/>
        </w:rPr>
        <w:t>Mapletree Industrial, DBS Group, Raffles Medical Group, CapitaLand Integ. Comm. Trust and SGX Group: the five with the highest chance of no big move. In tests over 31 trading days, the five picked this way moved more than 1% about 4 in 10 times, the other ten about 6 in 10 times. If you prefer less day-to-day movement, these have moved least often.</w:t>
      </w:r>
    </w:p>
    <w:p>
      <w:pPr>
        <w:pStyle w:val="ListBullet"/>
        <w:spacing w:after="40"/>
      </w:pPr>
      <w:r>
        <w:rPr>
          <w:b/>
          <w:i w:val="0"/>
          <w:color w:val="1A2E55"/>
          <w:sz w:val="17"/>
        </w:rPr>
        <w:t xml:space="preserve">Up-or-down lean. </w:t>
      </w:r>
      <w:r>
        <w:rPr>
          <w:b w:val="0"/>
          <w:i w:val="0"/>
          <w:sz w:val="17"/>
        </w:rPr>
        <w:t>Only 0 live forecasts had matured by this date, too few to quote a record; treat every call as unproven.</w:t>
      </w:r>
    </w:p>
    <w:p>
      <w:pPr>
        <w:keepNext/>
        <w:pageBreakBefore/>
        <w:spacing w:before="0" w:after="40"/>
        <w:pBdr>
          <w:bottom w:val="single" w:sz="6" w:space="2" w:color="CDE2FB"/>
        </w:pBdr>
      </w:pPr>
      <w:r>
        <w:rPr>
          <w:b/>
          <w:i w:val="0"/>
          <w:color w:val="1A2E55"/>
          <w:sz w:val="26"/>
        </w:rPr>
        <w:t>4 · The system behind this report</w:t>
      </w:r>
    </w:p>
    <w:p>
      <w:pPr>
        <w:keepNext/>
      </w:pPr>
      <w:r>
        <w:rPr>
          <w:b w:val="0"/>
          <w:i w:val="0"/>
          <w:color w:val="52514E"/>
          <w:sz w:val="17"/>
        </w:rPr>
        <w:t>Four stages run in sequence after every close. Every number on the pages above comes from one of them; nothing is written by hand.</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35" w:type="dxa"/>
          <w:bottom w:w="35" w:type="dxa"/>
          <w:left w:w="70" w:type="dxa"/>
          <w:right w:w="70" w:type="dxa"/>
        </w:tblCellMar>
      </w:tblPr>
      <w:tblGrid>
        <w:gridCol w:w="1872"/>
        <w:gridCol w:w="8064"/>
      </w:tblGrid>
      <w:tr>
        <w:tc>
          <w:tcPr>
            <w:tcW w:type="dxa" w:w="1872"/>
            <w:shd w:val="clear" w:color="auto" w:fill="1A2E55"/>
          </w:tcPr>
          <w:p>
            <w:r>
              <w:rPr>
                <w:b/>
                <w:i w:val="0"/>
                <w:color w:val="FFFFFF"/>
                <w:sz w:val="15"/>
              </w:rPr>
              <w:t>Stage</w:t>
            </w:r>
          </w:p>
        </w:tc>
        <w:tc>
          <w:tcPr>
            <w:tcW w:type="dxa" w:w="8064"/>
            <w:shd w:val="clear" w:color="auto" w:fill="1A2E55"/>
          </w:tcPr>
          <w:p>
            <w:r>
              <w:rPr>
                <w:b/>
                <w:i w:val="0"/>
                <w:color w:val="FFFFFF"/>
                <w:sz w:val="15"/>
              </w:rPr>
              <w:t>What it does for this report</w:t>
            </w:r>
          </w:p>
        </w:tc>
      </w:tr>
      <w:tr>
        <w:tc>
          <w:tcPr>
            <w:tcW w:type="dxa" w:w="1872"/>
          </w:tcPr>
          <w:p>
            <w:r>
              <w:rPr>
                <w:b/>
                <w:i w:val="0"/>
                <w:sz w:val="16"/>
              </w:rPr>
              <w:t>1 · Collect the day's facts</w:t>
            </w:r>
          </w:p>
        </w:tc>
        <w:tc>
          <w:tcPr>
            <w:tcW w:type="dxa" w:w="8064"/>
          </w:tcPr>
          <w:p>
            <w:r>
              <w:rPr>
                <w:b w:val="0"/>
                <w:i w:val="0"/>
                <w:sz w:val="16"/>
              </w:rPr>
              <w:t>Today's raw facts. 526 company news articles (each read as positive, negative or neutral by FinBERT, a finance language model) and 72 political articles; price-chart indicators (RSI, MACD, Bollinger bands, VWAP, weekly trend); the market backdrop (VIX 14.9, US yield spread); Singapore ETF options positioning (put/call 0.92).</w:t>
            </w:r>
          </w:p>
        </w:tc>
      </w:tr>
      <w:tr>
        <w:tc>
          <w:tcPr>
            <w:tcW w:type="dxa" w:w="1872"/>
            <w:shd w:val="clear" w:color="auto" w:fill="F7F7F5"/>
          </w:tcPr>
          <w:p>
            <w:r>
              <w:rPr>
                <w:b/>
                <w:i w:val="0"/>
                <w:sz w:val="16"/>
              </w:rPr>
              <w:t>2 · Read the news and signals</w:t>
            </w:r>
          </w:p>
        </w:tc>
        <w:tc>
          <w:tcPr>
            <w:tcW w:type="dxa" w:w="8064"/>
            <w:shd w:val="clear" w:color="auto" w:fill="F7F7F5"/>
          </w:tcPr>
          <w:p>
            <w:r>
              <w:rPr>
                <w:b w:val="0"/>
                <w:i w:val="0"/>
                <w:sz w:val="16"/>
              </w:rPr>
              <w:t>What the news and indicators say on top of the price itself: one reading per stock (sections 1–2), built in four layers. (1) Weighted rules score the day's evidence — the scores and rules on the cards. (2) Two independent machine-learning models re-read the same inputs as a second opinion. (3) A contradiction check compares all layers and flags internally mixed readings (named on the cards when strongly mixed). (4) An AI writer (an open-source model served by Groq) drafts the news summary; it may only phrase what the rules computed, and a summary that fails the checks is replaced by a fixed template.</w:t>
            </w:r>
          </w:p>
        </w:tc>
      </w:tr>
      <w:tr>
        <w:tc>
          <w:tcPr>
            <w:tcW w:type="dxa" w:w="1872"/>
          </w:tcPr>
          <w:p>
            <w:r>
              <w:rPr>
                <w:b/>
                <w:i w:val="0"/>
                <w:sz w:val="16"/>
              </w:rPr>
              <w:t>3 · Forecast the next 3 days</w:t>
            </w:r>
          </w:p>
        </w:tc>
        <w:tc>
          <w:tcPr>
            <w:tcW w:type="dxa" w:w="8064"/>
          </w:tcPr>
          <w:p>
            <w:r>
              <w:rPr>
                <w:b w:val="0"/>
                <w:i w:val="0"/>
                <w:sz w:val="16"/>
              </w:rPr>
              <w:t>The 3-day forecast and chance for every stock (section 3). Three model families (logistic regression, random forest, XGBoost) are re-evaluated every week in a champion–challenger setup. A replay of that weekly choice under 15 settings moved accuracy only between 53.8% and 54.6% (0–4 switches), and the pooled winner led per stock on just 4 of 15: switching added churn, not accuracy. The serving model is therefore pinned (random forest) and the weekly evaluation is kept as monitoring. Each forecast carries its own per-stock record — the ✓ / ✗ column.</w:t>
            </w:r>
          </w:p>
        </w:tc>
      </w:tr>
      <w:tr>
        <w:tc>
          <w:tcPr>
            <w:tcW w:type="dxa" w:w="1872"/>
            <w:shd w:val="clear" w:color="auto" w:fill="F7F7F5"/>
          </w:tcPr>
          <w:p>
            <w:r>
              <w:rPr>
                <w:b/>
                <w:i w:val="0"/>
                <w:sz w:val="16"/>
              </w:rPr>
              <w:t>4 · Check and write the report</w:t>
            </w:r>
          </w:p>
        </w:tc>
        <w:tc>
          <w:tcPr>
            <w:tcW w:type="dxa" w:w="8064"/>
            <w:shd w:val="clear" w:color="auto" w:fill="F7F7F5"/>
          </w:tcPr>
          <w:p>
            <w:r>
              <w:rPr>
                <w:b w:val="0"/>
                <w:i w:val="0"/>
                <w:sz w:val="16"/>
              </w:rPr>
              <w:t>Sorts each stock into one of 11 patterns (below; shown on the cards and table in plain words as 'price vs news'), flags what deserves a closer look (⚑), picks the cards, and draws the day's market read: where the moves were, whether company news, the sector or the whole market moved with them, and what the backdrop and the forecast add. Every kind of statement carries its tested record (section 5). An AI writer, the same model as stage 2, rewrites the code-written market read in plainer words and drafts each card's 'In short' line. It may not write a single digit (code fills in every number), and a draft that breaks any rule — no advice, no targets, no claimed certainty, no number or stock it was not given, no rise word next to a fall, no claim that the news explains a move the report says it does not, no more than little weight on the forecast, no figure in words, no claim against the stored price facts — is replaced by the template text.</w:t>
            </w:r>
          </w:p>
        </w:tc>
      </w:tr>
    </w:tbl>
    <w:p>
      <w:pPr>
        <w:spacing w:after="40"/>
      </w:pPr>
      <w:r>
        <w:rPr>
          <w:b w:val="0"/>
          <w:i w:val="0"/>
          <w:color w:val="52514E"/>
          <w:sz w:val="15"/>
        </w:rPr>
        <w:t>AI-written text in this report: the market read and 'In short' lines (stage 4) and the news summaries (stage 2), all checked; every number, table and verdict is computed by code. In the project's documentation the four stages are Tasks 1–4, 5, 6 and 7.</w:t>
      </w:r>
    </w:p>
    <w:p>
      <w:pPr>
        <w:keepNext/>
        <w:spacing w:before="120" w:after="20"/>
      </w:pPr>
      <w:r>
        <w:rPr>
          <w:b/>
          <w:i w:val="0"/>
          <w:color w:val="1A2E55"/>
          <w:sz w:val="21"/>
        </w:rPr>
        <w:t>Today's patterns: how news, price and forecast line up</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1800"/>
        <w:gridCol w:w="3312"/>
        <w:gridCol w:w="4824"/>
      </w:tblGrid>
      <w:tr>
        <w:tc>
          <w:tcPr>
            <w:tcW w:type="dxa" w:w="1800"/>
            <w:shd w:val="clear" w:color="auto" w:fill="1A2E55"/>
          </w:tcPr>
          <w:p>
            <w:r>
              <w:rPr>
                <w:b/>
                <w:i w:val="0"/>
                <w:color w:val="FFFFFF"/>
                <w:sz w:val="14"/>
              </w:rPr>
              <w:t>Pattern</w:t>
            </w:r>
          </w:p>
        </w:tc>
        <w:tc>
          <w:tcPr>
            <w:tcW w:type="dxa" w:w="3312"/>
            <w:shd w:val="clear" w:color="auto" w:fill="1A2E55"/>
          </w:tcPr>
          <w:p>
            <w:r>
              <w:rPr>
                <w:b/>
                <w:i w:val="0"/>
                <w:color w:val="FFFFFF"/>
                <w:sz w:val="14"/>
              </w:rPr>
              <w:t>Stocks today</w:t>
            </w:r>
          </w:p>
        </w:tc>
        <w:tc>
          <w:tcPr>
            <w:tcW w:type="dxa" w:w="4824"/>
            <w:shd w:val="clear" w:color="auto" w:fill="1A2E55"/>
          </w:tcPr>
          <w:p>
            <w:r>
              <w:rPr>
                <w:b/>
                <w:i w:val="0"/>
                <w:color w:val="FFFFFF"/>
                <w:sz w:val="14"/>
              </w:rPr>
              <w:t>Meaning</w:t>
            </w:r>
          </w:p>
        </w:tc>
      </w:tr>
      <w:tr>
        <w:tc>
          <w:tcPr>
            <w:tcW w:type="dxa" w:w="1800"/>
          </w:tcPr>
          <w:p>
            <w:r>
              <w:rPr>
                <w:b/>
                <w:i w:val="0"/>
                <w:sz w:val="15"/>
              </w:rPr>
              <w:t>Move complete (4)</w:t>
            </w:r>
          </w:p>
        </w:tc>
        <w:tc>
          <w:tcPr>
            <w:tcW w:type="dxa" w:w="3312"/>
          </w:tcPr>
          <w:p>
            <w:r>
              <w:rPr>
                <w:b w:val="0"/>
                <w:i w:val="0"/>
                <w:sz w:val="15"/>
              </w:rPr>
              <w:t>DBS Group, Keppel Corp, ComfortDelGro, SGX Group</w:t>
            </w:r>
          </w:p>
        </w:tc>
        <w:tc>
          <w:tcPr>
            <w:tcW w:type="dxa" w:w="4824"/>
          </w:tcPr>
          <w:p>
            <w:r>
              <w:rPr>
                <w:b w:val="0"/>
                <w:i w:val="0"/>
                <w:sz w:val="15"/>
              </w:rPr>
              <w:t>the signals played out today; nothing further expected</w:t>
            </w:r>
          </w:p>
        </w:tc>
      </w:tr>
      <w:tr>
        <w:tc>
          <w:tcPr>
            <w:tcW w:type="dxa" w:w="1800"/>
            <w:shd w:val="clear" w:color="auto" w:fill="F7F7F5"/>
          </w:tcPr>
          <w:p>
            <w:r>
              <w:rPr>
                <w:b/>
                <w:i w:val="0"/>
                <w:sz w:val="15"/>
              </w:rPr>
              <w:t>Mean reversion (3)</w:t>
            </w:r>
          </w:p>
        </w:tc>
        <w:tc>
          <w:tcPr>
            <w:tcW w:type="dxa" w:w="3312"/>
            <w:shd w:val="clear" w:color="auto" w:fill="F7F7F5"/>
          </w:tcPr>
          <w:p>
            <w:r>
              <w:rPr>
                <w:b w:val="0"/>
                <w:i w:val="0"/>
                <w:sz w:val="15"/>
              </w:rPr>
              <w:t>OCBC Bank, ST Engineering, Sembcorp Industries</w:t>
            </w:r>
          </w:p>
        </w:tc>
        <w:tc>
          <w:tcPr>
            <w:tcW w:type="dxa" w:w="4824"/>
            <w:shd w:val="clear" w:color="auto" w:fill="F7F7F5"/>
          </w:tcPr>
          <w:p>
            <w:r>
              <w:rPr>
                <w:b w:val="0"/>
                <w:i w:val="0"/>
                <w:sz w:val="15"/>
              </w:rPr>
              <w:t>news and price agreed, but the model expects a pullback</w:t>
            </w:r>
          </w:p>
        </w:tc>
      </w:tr>
      <w:tr>
        <w:tc>
          <w:tcPr>
            <w:tcW w:type="dxa" w:w="1800"/>
          </w:tcPr>
          <w:p>
            <w:r>
              <w:rPr>
                <w:b/>
                <w:i w:val="0"/>
                <w:sz w:val="15"/>
              </w:rPr>
              <w:t>Dormant (2)</w:t>
            </w:r>
          </w:p>
        </w:tc>
        <w:tc>
          <w:tcPr>
            <w:tcW w:type="dxa" w:w="3312"/>
          </w:tcPr>
          <w:p>
            <w:r>
              <w:rPr>
                <w:b w:val="0"/>
                <w:i w:val="0"/>
                <w:sz w:val="15"/>
              </w:rPr>
              <w:t>CapitaLand Integ. Comm. Trust, Ascendas REIT</w:t>
            </w:r>
          </w:p>
        </w:tc>
        <w:tc>
          <w:tcPr>
            <w:tcW w:type="dxa" w:w="4824"/>
          </w:tcPr>
          <w:p>
            <w:r>
              <w:rPr>
                <w:b w:val="0"/>
                <w:i w:val="0"/>
                <w:sz w:val="15"/>
              </w:rPr>
              <w:t>a slight lean in the signals; neither price nor model followed</w:t>
            </w:r>
          </w:p>
        </w:tc>
      </w:tr>
      <w:tr>
        <w:tc>
          <w:tcPr>
            <w:tcW w:type="dxa" w:w="1800"/>
            <w:shd w:val="clear" w:color="auto" w:fill="F7F7F5"/>
          </w:tcPr>
          <w:p>
            <w:r>
              <w:rPr>
                <w:b/>
                <w:i w:val="0"/>
                <w:sz w:val="15"/>
              </w:rPr>
              <w:t>Quiet (2)</w:t>
            </w:r>
          </w:p>
        </w:tc>
        <w:tc>
          <w:tcPr>
            <w:tcW w:type="dxa" w:w="3312"/>
            <w:shd w:val="clear" w:color="auto" w:fill="F7F7F5"/>
          </w:tcPr>
          <w:p>
            <w:r>
              <w:rPr>
                <w:b w:val="0"/>
                <w:i w:val="0"/>
                <w:sz w:val="15"/>
              </w:rPr>
              <w:t>Mapletree Industrial, Raffles Medical Group</w:t>
            </w:r>
          </w:p>
        </w:tc>
        <w:tc>
          <w:tcPr>
            <w:tcW w:type="dxa" w:w="4824"/>
            <w:shd w:val="clear" w:color="auto" w:fill="F7F7F5"/>
          </w:tcPr>
          <w:p>
            <w:r>
              <w:rPr>
                <w:b w:val="0"/>
                <w:i w:val="0"/>
                <w:sz w:val="15"/>
              </w:rPr>
              <w:t>no directional signal today</w:t>
            </w:r>
          </w:p>
        </w:tc>
      </w:tr>
      <w:tr>
        <w:tc>
          <w:tcPr>
            <w:tcW w:type="dxa" w:w="1800"/>
          </w:tcPr>
          <w:p>
            <w:r>
              <w:rPr>
                <w:b/>
                <w:i w:val="0"/>
                <w:sz w:val="15"/>
              </w:rPr>
              <w:t>Muted, pending (1)</w:t>
            </w:r>
          </w:p>
        </w:tc>
        <w:tc>
          <w:tcPr>
            <w:tcW w:type="dxa" w:w="3312"/>
          </w:tcPr>
          <w:p>
            <w:r>
              <w:rPr>
                <w:b w:val="0"/>
                <w:i w:val="0"/>
                <w:sz w:val="15"/>
              </w:rPr>
              <w:t>UOB</w:t>
            </w:r>
          </w:p>
        </w:tc>
        <w:tc>
          <w:tcPr>
            <w:tcW w:type="dxa" w:w="4824"/>
          </w:tcPr>
          <w:p>
            <w:r>
              <w:rPr>
                <w:b w:val="0"/>
                <w:i w:val="0"/>
                <w:sz w:val="15"/>
              </w:rPr>
              <w:t>signals leaned one way, price barely moved; the model still expects that direction</w:t>
            </w:r>
          </w:p>
        </w:tc>
      </w:tr>
      <w:tr>
        <w:tc>
          <w:tcPr>
            <w:tcW w:type="dxa" w:w="1800"/>
            <w:shd w:val="clear" w:color="auto" w:fill="F7F7F5"/>
          </w:tcPr>
          <w:p>
            <w:r>
              <w:rPr>
                <w:b/>
                <w:i w:val="0"/>
                <w:sz w:val="15"/>
              </w:rPr>
              <w:t>Lag (1)</w:t>
            </w:r>
          </w:p>
        </w:tc>
        <w:tc>
          <w:tcPr>
            <w:tcW w:type="dxa" w:w="3312"/>
            <w:shd w:val="clear" w:color="auto" w:fill="F7F7F5"/>
          </w:tcPr>
          <w:p>
            <w:r>
              <w:rPr>
                <w:b w:val="0"/>
                <w:i w:val="0"/>
                <w:sz w:val="15"/>
              </w:rPr>
              <w:t>Mapletree Pan Asia Comm. Trust</w:t>
            </w:r>
          </w:p>
        </w:tc>
        <w:tc>
          <w:tcPr>
            <w:tcW w:type="dxa" w:w="4824"/>
            <w:shd w:val="clear" w:color="auto" w:fill="F7F7F5"/>
          </w:tcPr>
          <w:p>
            <w:r>
              <w:rPr>
                <w:b w:val="0"/>
                <w:i w:val="0"/>
                <w:sz w:val="15"/>
              </w:rPr>
              <w:t>price went against the signals; the model sides with the signals</w:t>
            </w:r>
          </w:p>
        </w:tc>
      </w:tr>
      <w:tr>
        <w:tc>
          <w:tcPr>
            <w:tcW w:type="dxa" w:w="1800"/>
          </w:tcPr>
          <w:p>
            <w:r>
              <w:rPr>
                <w:b/>
                <w:i w:val="0"/>
                <w:sz w:val="15"/>
              </w:rPr>
              <w:t>Muted, fading (1)</w:t>
            </w:r>
          </w:p>
        </w:tc>
        <w:tc>
          <w:tcPr>
            <w:tcW w:type="dxa" w:w="3312"/>
          </w:tcPr>
          <w:p>
            <w:r>
              <w:rPr>
                <w:b w:val="0"/>
                <w:i w:val="0"/>
                <w:sz w:val="15"/>
              </w:rPr>
              <w:t>Singtel</w:t>
            </w:r>
          </w:p>
        </w:tc>
        <w:tc>
          <w:tcPr>
            <w:tcW w:type="dxa" w:w="4824"/>
          </w:tcPr>
          <w:p>
            <w:r>
              <w:rPr>
                <w:b w:val="0"/>
                <w:i w:val="0"/>
                <w:sz w:val="15"/>
              </w:rPr>
              <w:t>signals leaned one way, price barely moved; the model expects the opposite</w:t>
            </w:r>
          </w:p>
        </w:tc>
      </w:tr>
      <w:tr>
        <w:tc>
          <w:tcPr>
            <w:tcW w:type="dxa" w:w="1800"/>
            <w:shd w:val="clear" w:color="auto" w:fill="F7F7F5"/>
          </w:tcPr>
          <w:p>
            <w:r>
              <w:rPr>
                <w:b/>
                <w:i w:val="0"/>
                <w:sz w:val="15"/>
              </w:rPr>
              <w:t>Model-only view (1)</w:t>
            </w:r>
          </w:p>
        </w:tc>
        <w:tc>
          <w:tcPr>
            <w:tcW w:type="dxa" w:w="3312"/>
            <w:shd w:val="clear" w:color="auto" w:fill="F7F7F5"/>
          </w:tcPr>
          <w:p>
            <w:r>
              <w:rPr>
                <w:b w:val="0"/>
                <w:i w:val="0"/>
                <w:sz w:val="15"/>
              </w:rPr>
              <w:t>Wilmar Intl</w:t>
            </w:r>
          </w:p>
        </w:tc>
        <w:tc>
          <w:tcPr>
            <w:tcW w:type="dxa" w:w="4824"/>
            <w:shd w:val="clear" w:color="auto" w:fill="F7F7F5"/>
          </w:tcPr>
          <w:p>
            <w:r>
              <w:rPr>
                <w:b w:val="0"/>
                <w:i w:val="0"/>
                <w:sz w:val="15"/>
              </w:rPr>
              <w:t>signals flat, but the model has a view</w:t>
            </w:r>
          </w:p>
        </w:tc>
      </w:tr>
    </w:tbl>
    <w:p>
      <w:pPr>
        <w:spacing w:after="40"/>
      </w:pPr>
      <w:r>
        <w:rPr>
          <w:b w:val="0"/>
          <w:i w:val="0"/>
          <w:color w:val="52514E"/>
          <w:sz w:val="15"/>
        </w:rPr>
        <w:t>The other patterns in the 11-pattern engine did not occur today; the full set is defined in the final report, Appendix C. The contradiction check rated 5 of 15 readings strongly mixed (named on the cards) and 9 mildly mixed today.</w:t>
      </w:r>
    </w:p>
    <w:p>
      <w:pPr>
        <w:keepNext/>
        <w:pageBreakBefore/>
        <w:spacing w:before="0" w:after="40"/>
        <w:pBdr>
          <w:bottom w:val="single" w:sz="6" w:space="2" w:color="CDE2FB"/>
        </w:pBdr>
      </w:pPr>
      <w:r>
        <w:rPr>
          <w:b/>
          <w:i w:val="0"/>
          <w:color w:val="1A2E55"/>
          <w:sz w:val="26"/>
        </w:rPr>
        <w:t>5 · What three months of testing show</w:t>
      </w:r>
    </w:p>
    <w:p>
      <w:pPr>
        <w:keepNext/>
      </w:pPr>
      <w:r>
        <w:rPr>
          <w:b w:val="0"/>
          <w:i w:val="0"/>
          <w:color w:val="52514E"/>
          <w:sz w:val="17"/>
        </w:rPr>
        <w:t>Each part of the system was tested on the project's stored data before it was allowed into this report. Results across all 15 stocks; forecast records count only outcomes known by the report date, research results are from the whole project: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8" w:type="dxa"/>
          <w:bottom w:w="18" w:type="dxa"/>
          <w:left w:w="50" w:type="dxa"/>
          <w:right w:w="50" w:type="dxa"/>
        </w:tblCellMar>
      </w:tblPr>
      <w:tblGrid>
        <w:gridCol w:w="1872"/>
        <w:gridCol w:w="4536"/>
        <w:gridCol w:w="1368"/>
        <w:gridCol w:w="2160"/>
      </w:tblGrid>
      <w:tr>
        <w:tc>
          <w:tcPr>
            <w:tcW w:type="dxa" w:w="1872"/>
            <w:shd w:val="clear" w:color="auto" w:fill="1A2E55"/>
          </w:tcPr>
          <w:p>
            <w:r>
              <w:rPr>
                <w:b/>
                <w:i w:val="0"/>
                <w:color w:val="FFFFFF"/>
                <w:sz w:val="13"/>
              </w:rPr>
              <w:t>What was tested</w:t>
            </w:r>
          </w:p>
        </w:tc>
        <w:tc>
          <w:tcPr>
            <w:tcW w:type="dxa" w:w="4536"/>
            <w:shd w:val="clear" w:color="auto" w:fill="1A2E55"/>
          </w:tcPr>
          <w:p>
            <w:r>
              <w:rPr>
                <w:b/>
                <w:i w:val="0"/>
                <w:color w:val="FFFFFF"/>
                <w:sz w:val="13"/>
              </w:rPr>
              <w:t>What we found</w:t>
            </w:r>
          </w:p>
        </w:tc>
        <w:tc>
          <w:tcPr>
            <w:tcW w:type="dxa" w:w="1368"/>
            <w:shd w:val="clear" w:color="auto" w:fill="1A2E55"/>
          </w:tcPr>
          <w:p>
            <w:r>
              <w:rPr>
                <w:b/>
                <w:i w:val="0"/>
                <w:color w:val="FFFFFF"/>
                <w:sz w:val="13"/>
              </w:rPr>
              <w:t>Verdict</w:t>
            </w:r>
          </w:p>
        </w:tc>
        <w:tc>
          <w:tcPr>
            <w:tcW w:type="dxa" w:w="2160"/>
            <w:shd w:val="clear" w:color="auto" w:fill="1A2E55"/>
          </w:tcPr>
          <w:p>
            <w:r>
              <w:rPr>
                <w:b/>
                <w:i w:val="0"/>
                <w:color w:val="FFFFFF"/>
                <w:sz w:val="13"/>
              </w:rPr>
              <w:t>What it means for you</w:t>
            </w:r>
          </w:p>
        </w:tc>
      </w:tr>
      <w:tr>
        <w:tc>
          <w:tcPr>
            <w:tcW w:type="dxa" w:w="1872"/>
          </w:tcPr>
          <w:p>
            <w:r>
              <w:rPr>
                <w:b/>
                <w:i w:val="0"/>
                <w:sz w:val="14"/>
              </w:rPr>
              <w:t>Can today's news and signals pick stocks?</w:t>
            </w:r>
          </w:p>
        </w:tc>
        <w:tc>
          <w:tcPr>
            <w:tcW w:type="dxa" w:w="4536"/>
          </w:tcPr>
          <w:p>
            <w:r>
              <w:rPr>
                <w:b w:val="0"/>
                <w:i w:val="0"/>
                <w:sz w:val="14"/>
              </w:rPr>
              <w:t>The ranking did not predict next-day returns against the other stocks (rank correlation -0.02 over 21 days).</w:t>
            </w:r>
          </w:p>
        </w:tc>
        <w:tc>
          <w:tcPr>
            <w:tcW w:type="dxa" w:w="1368"/>
            <w:shd w:val="clear" w:color="auto" w:fill="EFEEEA"/>
          </w:tcPr>
          <w:p>
            <w:r>
              <w:rPr>
                <w:b/>
                <w:i w:val="0"/>
                <w:color w:val="52514E"/>
                <w:sz w:val="14"/>
              </w:rPr>
              <w:t>○  Describes only</w:t>
            </w:r>
          </w:p>
        </w:tc>
        <w:tc>
          <w:tcPr>
            <w:tcW w:type="dxa" w:w="2160"/>
          </w:tcPr>
          <w:p>
            <w:r>
              <w:rPr>
                <w:b w:val="0"/>
                <w:i w:val="0"/>
                <w:sz w:val="14"/>
              </w:rPr>
              <w:t>Use it to understand the day, not to pick stocks</w:t>
            </w:r>
          </w:p>
        </w:tc>
      </w:tr>
      <w:tr>
        <w:tc>
          <w:tcPr>
            <w:tcW w:type="dxa" w:w="1872"/>
            <w:shd w:val="clear" w:color="auto" w:fill="F7F7F5"/>
          </w:tcPr>
          <w:p>
            <w:r>
              <w:rPr>
                <w:b/>
                <w:i w:val="0"/>
                <w:sz w:val="14"/>
              </w:rPr>
              <w:t>Was the news reading balanced?</w:t>
            </w:r>
          </w:p>
        </w:tc>
        <w:tc>
          <w:tcPr>
            <w:tcW w:type="dxa" w:w="4536"/>
            <w:shd w:val="clear" w:color="auto" w:fill="F7F7F5"/>
          </w:tcPr>
          <w:p>
            <w:r>
              <w:rPr>
                <w:b w:val="0"/>
                <w:i w:val="0"/>
                <w:sz w:val="14"/>
              </w:rPr>
              <w:t>An audit found one rule (company-event news) firing on 99.7% of readings, so readings leaned positive. Fixed on 21 Sep: positive readings 56% → 33%, with no loss of information.</w:t>
            </w:r>
          </w:p>
        </w:tc>
        <w:tc>
          <w:tcPr>
            <w:tcW w:type="dxa" w:w="1368"/>
            <w:shd w:val="clear" w:color="auto" w:fill="E4F3E4"/>
          </w:tcPr>
          <w:p>
            <w:r>
              <w:rPr>
                <w:b/>
                <w:i w:val="0"/>
                <w:color w:val="0A6E0A"/>
                <w:sz w:val="14"/>
              </w:rPr>
              <w:t>✓  Found and fixed</w:t>
            </w:r>
          </w:p>
        </w:tc>
        <w:tc>
          <w:tcPr>
            <w:tcW w:type="dxa" w:w="2160"/>
            <w:shd w:val="clear" w:color="auto" w:fill="F7F7F5"/>
          </w:tcPr>
          <w:p>
            <w:r>
              <w:rPr>
                <w:b w:val="0"/>
                <w:i w:val="0"/>
                <w:sz w:val="14"/>
              </w:rPr>
              <w:t>Readings are more balanced; negative ones stay rare</w:t>
            </w:r>
          </w:p>
        </w:tc>
      </w:tr>
      <w:tr>
        <w:tc>
          <w:tcPr>
            <w:tcW w:type="dxa" w:w="1872"/>
          </w:tcPr>
          <w:p>
            <w:r>
              <w:rPr>
                <w:b/>
                <w:i w:val="0"/>
                <w:sz w:val="14"/>
              </w:rPr>
              <w:t>Can the model forecast up or down?</w:t>
            </w:r>
          </w:p>
        </w:tc>
        <w:tc>
          <w:tcPr>
            <w:tcW w:type="dxa" w:w="4536"/>
          </w:tcPr>
          <w:p>
            <w:r>
              <w:rPr>
                <w:b w:val="0"/>
                <w:i w:val="0"/>
                <w:sz w:val="14"/>
              </w:rPr>
              <w:t>Only 0 live calls had matured by this date. With honest probabilities, RandomForest, XGBoost and logistic regression all scored 53.3–54.0% vs 53.3%.</w:t>
            </w:r>
          </w:p>
        </w:tc>
        <w:tc>
          <w:tcPr>
            <w:tcW w:type="dxa" w:w="1368"/>
            <w:shd w:val="clear" w:color="auto" w:fill="FBE1E0"/>
          </w:tcPr>
          <w:p>
            <w:r>
              <w:rPr>
                <w:b/>
                <w:i w:val="0"/>
                <w:color w:val="A12D2C"/>
                <w:sz w:val="14"/>
              </w:rPr>
              <w:t>✗  Not reliable</w:t>
            </w:r>
          </w:p>
        </w:tc>
        <w:tc>
          <w:tcPr>
            <w:tcW w:type="dxa" w:w="2160"/>
          </w:tcPr>
          <w:p>
            <w:r>
              <w:rPr>
                <w:b w:val="0"/>
                <w:i w:val="0"/>
                <w:sz w:val="14"/>
              </w:rPr>
              <w:t>Three-day direction is not predictable from these inputs</w:t>
            </w:r>
          </w:p>
        </w:tc>
      </w:tr>
      <w:tr>
        <w:tc>
          <w:tcPr>
            <w:tcW w:type="dxa" w:w="1872"/>
            <w:shd w:val="clear" w:color="auto" w:fill="F7F7F5"/>
          </w:tcPr>
          <w:p>
            <w:r>
              <w:rPr>
                <w:b/>
                <w:i w:val="0"/>
                <w:sz w:val="14"/>
              </w:rPr>
              <w:t>Were its stated chances honest?</w:t>
            </w:r>
          </w:p>
        </w:tc>
        <w:tc>
          <w:tcPr>
            <w:tcW w:type="dxa" w:w="4536"/>
            <w:shd w:val="clear" w:color="auto" w:fill="F7F7F5"/>
          </w:tcPr>
          <w:p>
            <w:r>
              <w:rPr>
                <w:b w:val="0"/>
                <w:i w:val="0"/>
                <w:sz w:val="14"/>
              </w:rPr>
              <w:t>Its calibration had been fitted on its own training rows. Refitted out-of-fold, no model says 90%.</w:t>
            </w:r>
          </w:p>
        </w:tc>
        <w:tc>
          <w:tcPr>
            <w:tcW w:type="dxa" w:w="1368"/>
            <w:shd w:val="clear" w:color="auto" w:fill="FFF1D1"/>
          </w:tcPr>
          <w:p>
            <w:r>
              <w:rPr>
                <w:b/>
                <w:i w:val="0"/>
                <w:color w:val="8A5A00"/>
                <w:sz w:val="14"/>
              </w:rPr>
              <w:t>!  Found and fixed</w:t>
            </w:r>
          </w:p>
        </w:tc>
        <w:tc>
          <w:tcPr>
            <w:tcW w:type="dxa" w:w="2160"/>
            <w:shd w:val="clear" w:color="auto" w:fill="F7F7F5"/>
          </w:tcPr>
          <w:p>
            <w:r>
              <w:rPr>
                <w:b w:val="0"/>
                <w:i w:val="0"/>
                <w:sz w:val="14"/>
              </w:rPr>
              <w:t>Never read a high chance as near-certain</w:t>
            </w:r>
          </w:p>
        </w:tc>
      </w:tr>
      <w:tr>
        <w:tc>
          <w:tcPr>
            <w:tcW w:type="dxa" w:w="1872"/>
          </w:tcPr>
          <w:p>
            <w:r>
              <w:rPr>
                <w:b/>
                <w:i w:val="0"/>
                <w:sz w:val="14"/>
              </w:rPr>
              <w:t>Does marking weak forecasts help?</w:t>
            </w:r>
          </w:p>
        </w:tc>
        <w:tc>
          <w:tcPr>
            <w:tcW w:type="dxa" w:w="4536"/>
          </w:tcPr>
          <w:p>
            <w:r>
              <w:rPr>
                <w:b w:val="0"/>
                <w:i w:val="0"/>
                <w:sz w:val="14"/>
              </w:rPr>
              <w:t>Only 0 live calls had matured by this date, too few to compare.</w:t>
            </w:r>
          </w:p>
        </w:tc>
        <w:tc>
          <w:tcPr>
            <w:tcW w:type="dxa" w:w="1368"/>
            <w:shd w:val="clear" w:color="auto" w:fill="FFF1D1"/>
          </w:tcPr>
          <w:p>
            <w:r>
              <w:rPr>
                <w:b/>
                <w:i w:val="0"/>
                <w:color w:val="8A5A00"/>
                <w:sz w:val="14"/>
              </w:rPr>
              <w:t>!  For 'no big move' only</w:t>
            </w:r>
          </w:p>
        </w:tc>
        <w:tc>
          <w:tcPr>
            <w:tcW w:type="dxa" w:w="2160"/>
          </w:tcPr>
          <w:p>
            <w:r>
              <w:rPr>
                <w:b w:val="0"/>
                <w:i w:val="0"/>
                <w:sz w:val="14"/>
              </w:rPr>
              <w:t>Trust ✓ on 'no big move', never on a direction</w:t>
            </w:r>
          </w:p>
        </w:tc>
      </w:tr>
      <w:tr>
        <w:tc>
          <w:tcPr>
            <w:tcW w:type="dxa" w:w="1872"/>
            <w:shd w:val="clear" w:color="auto" w:fill="F7F7F5"/>
          </w:tcPr>
          <w:p>
            <w:r>
              <w:rPr>
                <w:b/>
                <w:i w:val="0"/>
                <w:sz w:val="14"/>
              </w:rPr>
              <w:t>Does switching models weekly help?</w:t>
            </w:r>
          </w:p>
        </w:tc>
        <w:tc>
          <w:tcPr>
            <w:tcW w:type="dxa" w:w="4536"/>
            <w:shd w:val="clear" w:color="auto" w:fill="F7F7F5"/>
          </w:tcPr>
          <w:p>
            <w:r>
              <w:rPr>
                <w:b w:val="0"/>
                <w:i w:val="0"/>
                <w:sz w:val="14"/>
              </w:rPr>
              <w:t>Replaying the weekly champion choice under 15 settings gave 53.8–54.6%: switching added churn, not accuracy.</w:t>
            </w:r>
          </w:p>
        </w:tc>
        <w:tc>
          <w:tcPr>
            <w:tcW w:type="dxa" w:w="1368"/>
            <w:shd w:val="clear" w:color="auto" w:fill="EFEEEA"/>
          </w:tcPr>
          <w:p>
            <w:r>
              <w:rPr>
                <w:b/>
                <w:i w:val="0"/>
                <w:color w:val="52514E"/>
                <w:sz w:val="14"/>
              </w:rPr>
              <w:t>○  No gain</w:t>
            </w:r>
          </w:p>
        </w:tc>
        <w:tc>
          <w:tcPr>
            <w:tcW w:type="dxa" w:w="2160"/>
            <w:shd w:val="clear" w:color="auto" w:fill="F7F7F5"/>
          </w:tcPr>
          <w:p>
            <w:r>
              <w:rPr>
                <w:b w:val="0"/>
                <w:i w:val="0"/>
                <w:sz w:val="14"/>
              </w:rPr>
              <w:t>One model (RandomForest) is kept fixed</w:t>
            </w:r>
          </w:p>
        </w:tc>
      </w:tr>
      <w:tr>
        <w:tc>
          <w:tcPr>
            <w:tcW w:type="dxa" w:w="1872"/>
          </w:tcPr>
          <w:p>
            <w:r>
              <w:rPr>
                <w:b/>
                <w:i w:val="0"/>
                <w:sz w:val="14"/>
              </w:rPr>
              <w:t>How much will a stock move?</w:t>
            </w:r>
          </w:p>
        </w:tc>
        <w:tc>
          <w:tcPr>
            <w:tcW w:type="dxa" w:w="4536"/>
          </w:tcPr>
          <w:p>
            <w:r>
              <w:rPr>
                <w:b w:val="0"/>
                <w:i w:val="0"/>
                <w:sz w:val="14"/>
              </w:rPr>
              <w:t>The normal 3-day swing held 74% of the time (420 tests; about 68% expected).</w:t>
            </w:r>
          </w:p>
        </w:tc>
        <w:tc>
          <w:tcPr>
            <w:tcW w:type="dxa" w:w="1368"/>
            <w:shd w:val="clear" w:color="auto" w:fill="E4F3E4"/>
          </w:tcPr>
          <w:p>
            <w:r>
              <w:rPr>
                <w:b/>
                <w:i w:val="0"/>
                <w:color w:val="0A6E0A"/>
                <w:sz w:val="14"/>
              </w:rPr>
              <w:t>✓  Reliable</w:t>
            </w:r>
          </w:p>
        </w:tc>
        <w:tc>
          <w:tcPr>
            <w:tcW w:type="dxa" w:w="2160"/>
          </w:tcPr>
          <w:p>
            <w:r>
              <w:rPr>
                <w:b w:val="0"/>
                <w:i w:val="0"/>
                <w:sz w:val="14"/>
              </w:rPr>
              <w:t>Judge whether a move is unusual for that stock</w:t>
            </w:r>
          </w:p>
        </w:tc>
      </w:tr>
      <w:tr>
        <w:tc>
          <w:tcPr>
            <w:tcW w:type="dxa" w:w="1872"/>
            <w:shd w:val="clear" w:color="auto" w:fill="F7F7F5"/>
          </w:tcPr>
          <w:p>
            <w:r>
              <w:rPr>
                <w:b/>
                <w:i w:val="0"/>
                <w:sz w:val="14"/>
              </w:rPr>
              <w:t>Which stocks will be calmer?</w:t>
            </w:r>
          </w:p>
        </w:tc>
        <w:tc>
          <w:tcPr>
            <w:tcW w:type="dxa" w:w="4536"/>
            <w:shd w:val="clear" w:color="auto" w:fill="F7F7F5"/>
          </w:tcPr>
          <w:p>
            <w:r>
              <w:rPr>
                <w:b w:val="0"/>
                <w:i w:val="0"/>
                <w:sz w:val="14"/>
              </w:rPr>
              <w:t>The five with the highest chance of no big move moved over 1% about 4 in 10 times, the others about 6 in 10 (31 test days). The rule was set after looking at the data.</w:t>
            </w:r>
          </w:p>
        </w:tc>
        <w:tc>
          <w:tcPr>
            <w:tcW w:type="dxa" w:w="1368"/>
            <w:shd w:val="clear" w:color="auto" w:fill="FFF1D1"/>
          </w:tcPr>
          <w:p>
            <w:r>
              <w:rPr>
                <w:b/>
                <w:i w:val="0"/>
                <w:color w:val="8A5A00"/>
                <w:sz w:val="14"/>
              </w:rPr>
              <w:t>!  Promising</w:t>
            </w:r>
          </w:p>
        </w:tc>
        <w:tc>
          <w:tcPr>
            <w:tcW w:type="dxa" w:w="2160"/>
            <w:shd w:val="clear" w:color="auto" w:fill="F7F7F5"/>
          </w:tcPr>
          <w:p>
            <w:r>
              <w:rPr>
                <w:b w:val="0"/>
                <w:i w:val="0"/>
                <w:sz w:val="14"/>
              </w:rPr>
              <w:t>A hint where less is likely to happen</w:t>
            </w:r>
          </w:p>
        </w:tc>
      </w:tr>
      <w:tr>
        <w:tc>
          <w:tcPr>
            <w:tcW w:type="dxa" w:w="1872"/>
          </w:tcPr>
          <w:p>
            <w:r>
              <w:rPr>
                <w:b/>
                <w:i w:val="0"/>
                <w:sz w:val="14"/>
              </w:rPr>
              <w:t>Does ⚑ mean a bigger move?</w:t>
            </w:r>
          </w:p>
        </w:tc>
        <w:tc>
          <w:tcPr>
            <w:tcW w:type="dxa" w:w="4536"/>
          </w:tcPr>
          <w:p>
            <w:r>
              <w:rPr>
                <w:b w:val="0"/>
                <w:i w:val="0"/>
                <w:sz w:val="14"/>
              </w:rPr>
              <w:t>No. Next 3 days: flagged stocks moved 1.2% on average, the rest 1.3% (17 flags, 18 dates).</w:t>
            </w:r>
          </w:p>
        </w:tc>
        <w:tc>
          <w:tcPr>
            <w:tcW w:type="dxa" w:w="1368"/>
            <w:shd w:val="clear" w:color="auto" w:fill="EFEEEA"/>
          </w:tcPr>
          <w:p>
            <w:r>
              <w:rPr>
                <w:b/>
                <w:i w:val="0"/>
                <w:color w:val="52514E"/>
                <w:sz w:val="14"/>
              </w:rPr>
              <w:t>○  Not a forecast</w:t>
            </w:r>
          </w:p>
        </w:tc>
        <w:tc>
          <w:tcPr>
            <w:tcW w:type="dxa" w:w="2160"/>
          </w:tcPr>
          <w:p>
            <w:r>
              <w:rPr>
                <w:b w:val="0"/>
                <w:i w:val="0"/>
                <w:sz w:val="14"/>
              </w:rPr>
              <w:t>⚑ means read the card first</w:t>
            </w:r>
          </w:p>
        </w:tc>
      </w:tr>
      <w:tr>
        <w:tc>
          <w:tcPr>
            <w:tcW w:type="dxa" w:w="1872"/>
            <w:shd w:val="clear" w:color="auto" w:fill="F7F7F5"/>
          </w:tcPr>
          <w:p>
            <w:r>
              <w:rPr>
                <w:b/>
                <w:i w:val="0"/>
                <w:sz w:val="14"/>
              </w:rPr>
              <w:t>What do seven years of prices say?</w:t>
            </w:r>
          </w:p>
        </w:tc>
        <w:tc>
          <w:tcPr>
            <w:tcW w:type="dxa" w:w="4536"/>
            <w:shd w:val="clear" w:color="auto" w:fill="F7F7F5"/>
          </w:tcPr>
          <w:p>
            <w:r>
              <w:rPr>
                <w:b w:val="0"/>
                <w:i w:val="0"/>
                <w:sz w:val="14"/>
              </w:rPr>
              <w:t>A stock that beat the other 14 on a day tended to lag slightly the next day, 2019-2025 (rank correlation +0.071, t 9.8), but by less than trading costs.</w:t>
            </w:r>
          </w:p>
        </w:tc>
        <w:tc>
          <w:tcPr>
            <w:tcW w:type="dxa" w:w="1368"/>
            <w:shd w:val="clear" w:color="auto" w:fill="EFEEEA"/>
          </w:tcPr>
          <w:p>
            <w:r>
              <w:rPr>
                <w:b/>
                <w:i w:val="0"/>
                <w:color w:val="52514E"/>
                <w:sz w:val="14"/>
              </w:rPr>
              <w:t>○  Real but small</w:t>
            </w:r>
          </w:p>
        </w:tc>
        <w:tc>
          <w:tcPr>
            <w:tcW w:type="dxa" w:w="2160"/>
            <w:shd w:val="clear" w:color="auto" w:fill="F7F7F5"/>
          </w:tcPr>
          <w:p>
            <w:r>
              <w:rPr>
                <w:b w:val="0"/>
                <w:i w:val="0"/>
                <w:sz w:val="14"/>
              </w:rPr>
              <w:t>Do not chase a one-day jump</w:t>
            </w:r>
          </w:p>
        </w:tc>
      </w:tr>
    </w:tbl>
    <w:p>
      <w:pPr>
        <w:keepNext/>
        <w:spacing w:before="120" w:after="20"/>
      </w:pPr>
      <w:r>
        <w:rPr>
          <w:b/>
          <w:i w:val="0"/>
          <w:color w:val="1A2E55"/>
          <w:sz w:val="21"/>
        </w:rPr>
        <w:t>Limitations</w:t>
      </w:r>
    </w:p>
    <w:p>
      <w:pPr>
        <w:pStyle w:val="ListBullet"/>
        <w:spacing w:after="40"/>
      </w:pPr>
      <w:r>
        <w:rPr>
          <w:b w:val="0"/>
          <w:i w:val="0"/>
          <w:sz w:val="15"/>
        </w:rPr>
        <w:t>About three months of data in one market phase: every rate above could change as more data arrives.</w:t>
      </w:r>
    </w:p>
    <w:p>
      <w:pPr>
        <w:pStyle w:val="ListBullet"/>
        <w:spacing w:after="40"/>
      </w:pPr>
      <w:r>
        <w:rPr>
          <w:b w:val="0"/>
          <w:i w:val="0"/>
          <w:sz w:val="15"/>
        </w:rPr>
        <w:t>News readings rarely turn negative: bearish rules fire less often and weigh less. No negative reading means no negative signal was found, not that there was no bad news.</w:t>
      </w:r>
    </w:p>
    <w:p>
      <w:pPr>
        <w:pStyle w:val="ListBullet"/>
        <w:spacing w:after="40"/>
      </w:pPr>
      <w:r>
        <w:rPr>
          <w:b w:val="0"/>
          <w:i w:val="0"/>
          <w:sz w:val="15"/>
        </w:rPr>
        <w:t>Free data: options data is one Singapore stock-market fund shared by all 15 stocks, and news publication times have not been checked against the report's cut-off.</w:t>
      </w:r>
    </w:p>
    <w:p>
      <w:pPr>
        <w:pStyle w:val="ListBullet"/>
        <w:spacing w:after="40"/>
      </w:pPr>
      <w:r>
        <w:rPr>
          <w:b w:val="0"/>
          <w:i w:val="0"/>
          <w:sz w:val="15"/>
        </w:rPr>
        <w:t>One political-news rule fires every day (it reads the classifier's confidence, not the tone), as does its counterweight; the two are summed and marked 'unreliable'.</w:t>
      </w:r>
    </w:p>
    <w:p>
      <w:pPr>
        <w:pStyle w:val="ListBullet"/>
        <w:spacing w:after="40"/>
      </w:pPr>
      <w:r>
        <w:rPr>
          <w:b w:val="0"/>
          <w:i w:val="0"/>
          <w:sz w:val="15"/>
        </w:rPr>
        <w:t>The news search often returns older articles, so only headlines from the last 30 days are shown; some stocks show none on a given day.</w:t>
      </w:r>
    </w:p>
    <w:p>
      <w:pPr>
        <w:keepNext/>
        <w:spacing w:before="120" w:after="20"/>
      </w:pPr>
      <w:r>
        <w:rPr>
          <w:b/>
          <w:i w:val="0"/>
          <w:color w:val="1A2E55"/>
          <w:sz w:val="21"/>
        </w:rPr>
        <w:t>Words used in this report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4" w:type="dxa"/>
          <w:bottom w:w="14" w:type="dxa"/>
          <w:left w:w="50" w:type="dxa"/>
          <w:right w:w="50" w:type="dxa"/>
        </w:tblCellMar>
      </w:tblPr>
      <w:tblGrid>
        <w:gridCol w:w="2160"/>
        <w:gridCol w:w="7776"/>
      </w:tblGrid>
      <w:tr>
        <w:tc>
          <w:tcPr>
            <w:tcW w:type="dxa" w:w="2160"/>
            <w:shd w:val="clear" w:color="auto" w:fill="1A2E55"/>
          </w:tcPr>
          <w:p>
            <w:r>
              <w:rPr>
                <w:b/>
                <w:i w:val="0"/>
                <w:color w:val="FFFFFF"/>
                <w:sz w:val="13"/>
              </w:rPr>
              <w:t>Word</w:t>
            </w:r>
          </w:p>
        </w:tc>
        <w:tc>
          <w:tcPr>
            <w:tcW w:type="dxa" w:w="7776"/>
            <w:shd w:val="clear" w:color="auto" w:fill="1A2E55"/>
          </w:tcPr>
          <w:p>
            <w:r>
              <w:rPr>
                <w:b/>
                <w:i w:val="0"/>
                <w:color w:val="FFFFFF"/>
                <w:sz w:val="13"/>
              </w:rPr>
              <w:t>Meaning</w:t>
            </w:r>
          </w:p>
        </w:tc>
      </w:tr>
      <w:tr>
        <w:tc>
          <w:tcPr>
            <w:tcW w:type="dxa" w:w="2160"/>
          </w:tcPr>
          <w:p>
            <w:r>
              <w:rPr>
                <w:b/>
                <w:i w:val="0"/>
                <w:sz w:val="14"/>
              </w:rPr>
              <w:t>News &amp; signals</w:t>
            </w:r>
          </w:p>
        </w:tc>
        <w:tc>
          <w:tcPr>
            <w:tcW w:type="dxa" w:w="7776"/>
          </w:tcPr>
          <w:p>
            <w:r>
              <w:rPr>
                <w:b w:val="0"/>
                <w:i w:val="0"/>
                <w:sz w:val="14"/>
              </w:rPr>
              <w:t>What today's news and indicators say on top of the price itself: positive, neutral or negative. It describes the day; the forecast is a separate model's job.</w:t>
            </w:r>
          </w:p>
        </w:tc>
      </w:tr>
      <w:tr>
        <w:tc>
          <w:tcPr>
            <w:tcW w:type="dxa" w:w="2160"/>
            <w:shd w:val="clear" w:color="auto" w:fill="F7F7F5"/>
          </w:tcPr>
          <w:p>
            <w:r>
              <w:rPr>
                <w:b/>
                <w:i w:val="0"/>
                <w:sz w:val="14"/>
              </w:rPr>
              <w:t>News today</w:t>
            </w:r>
          </w:p>
        </w:tc>
        <w:tc>
          <w:tcPr>
            <w:tcW w:type="dxa" w:w="7776"/>
            <w:shd w:val="clear" w:color="auto" w:fill="F7F7F5"/>
          </w:tcPr>
          <w:p>
            <w:r>
              <w:rPr>
                <w:b w:val="0"/>
                <w:i w:val="0"/>
                <w:sz w:val="14"/>
              </w:rPr>
              <w:t>The company articles collected on the day, each read as positive, negative or neutral by a finance language model (FinBERT). 'Mostly positive' means clearly more positive than negative articles.</w:t>
            </w:r>
          </w:p>
        </w:tc>
      </w:tr>
      <w:tr>
        <w:tc>
          <w:tcPr>
            <w:tcW w:type="dxa" w:w="2160"/>
          </w:tcPr>
          <w:p>
            <w:r>
              <w:rPr>
                <w:b/>
                <w:i w:val="0"/>
                <w:sz w:val="14"/>
              </w:rPr>
              <w:t>Normal day / big move</w:t>
            </w:r>
          </w:p>
        </w:tc>
        <w:tc>
          <w:tcPr>
            <w:tcW w:type="dxa" w:w="7776"/>
          </w:tcPr>
          <w:p>
            <w:r>
              <w:rPr>
                <w:b w:val="0"/>
                <w:i w:val="0"/>
                <w:sz w:val="14"/>
              </w:rPr>
              <w:t>A normal day: a one-day move within about ±0.6%, treated as the price not reacting. A big move (forecast): a three-day change beyond about ±1%. Both are half a standard deviation of past moves.</w:t>
            </w:r>
          </w:p>
        </w:tc>
      </w:tr>
      <w:tr>
        <w:tc>
          <w:tcPr>
            <w:tcW w:type="dxa" w:w="2160"/>
            <w:shd w:val="clear" w:color="auto" w:fill="F7F7F5"/>
          </w:tcPr>
          <w:p>
            <w:r>
              <w:rPr>
                <w:b/>
                <w:i w:val="0"/>
                <w:sz w:val="14"/>
              </w:rPr>
              <w:t>RSI</w:t>
            </w:r>
          </w:p>
        </w:tc>
        <w:tc>
          <w:tcPr>
            <w:tcW w:type="dxa" w:w="7776"/>
            <w:shd w:val="clear" w:color="auto" w:fill="F7F7F5"/>
          </w:tcPr>
          <w:p>
            <w:r>
              <w:rPr>
                <w:b w:val="0"/>
                <w:i w:val="0"/>
                <w:sz w:val="14"/>
              </w:rPr>
              <w:t>A 0-100 gauge of how fast the price has moved lately. Below 30 'oversold' (fell fast), above 70 'overbought' (rose fast).</w:t>
            </w:r>
          </w:p>
        </w:tc>
      </w:tr>
      <w:tr>
        <w:tc>
          <w:tcPr>
            <w:tcW w:type="dxa" w:w="2160"/>
          </w:tcPr>
          <w:p>
            <w:r>
              <w:rPr>
                <w:b/>
                <w:i w:val="0"/>
                <w:sz w:val="14"/>
              </w:rPr>
              <w:t>Average price (VWAP)</w:t>
            </w:r>
          </w:p>
        </w:tc>
        <w:tc>
          <w:tcPr>
            <w:tcW w:type="dxa" w:w="7776"/>
          </w:tcPr>
          <w:p>
            <w:r>
              <w:rPr>
                <w:b w:val="0"/>
                <w:i w:val="0"/>
                <w:sz w:val="14"/>
              </w:rPr>
              <w:t>The day's average price, weighted by how many shares traded at each price.</w:t>
            </w:r>
          </w:p>
        </w:tc>
      </w:tr>
      <w:tr>
        <w:tc>
          <w:tcPr>
            <w:tcW w:type="dxa" w:w="2160"/>
            <w:shd w:val="clear" w:color="auto" w:fill="F7F7F5"/>
          </w:tcPr>
          <w:p>
            <w:r>
              <w:rPr>
                <w:b/>
                <w:i w:val="0"/>
                <w:sz w:val="14"/>
              </w:rPr>
              <w:t>Usual range (Bollinger band)</w:t>
            </w:r>
          </w:p>
        </w:tc>
        <w:tc>
          <w:tcPr>
            <w:tcW w:type="dxa" w:w="7776"/>
            <w:shd w:val="clear" w:color="auto" w:fill="F7F7F5"/>
          </w:tcPr>
          <w:p>
            <w:r>
              <w:rPr>
                <w:b w:val="0"/>
                <w:i w:val="0"/>
                <w:sz w:val="14"/>
              </w:rPr>
              <w:t>The 20-day average price plus or minus two standard deviations; the price stays inside it on most days, so a close outside it is unusual.</w:t>
            </w:r>
          </w:p>
        </w:tc>
      </w:tr>
      <w:tr>
        <w:tc>
          <w:tcPr>
            <w:tcW w:type="dxa" w:w="2160"/>
          </w:tcPr>
          <w:p>
            <w:r>
              <w:rPr>
                <w:b/>
                <w:i w:val="0"/>
                <w:sz w:val="14"/>
              </w:rPr>
              <w:t>Trend turned (MACD)</w:t>
            </w:r>
          </w:p>
        </w:tc>
        <w:tc>
          <w:tcPr>
            <w:tcW w:type="dxa" w:w="7776"/>
          </w:tcPr>
          <w:p>
            <w:r>
              <w:rPr>
                <w:b w:val="0"/>
                <w:i w:val="0"/>
                <w:sz w:val="14"/>
              </w:rPr>
              <w:t>A short-term price average crossed a longer one.</w:t>
            </w:r>
          </w:p>
        </w:tc>
      </w:tr>
      <w:tr>
        <w:tc>
          <w:tcPr>
            <w:tcW w:type="dxa" w:w="2160"/>
            <w:shd w:val="clear" w:color="auto" w:fill="F7F7F5"/>
          </w:tcPr>
          <w:p>
            <w:r>
              <w:rPr>
                <w:b/>
                <w:i w:val="0"/>
                <w:sz w:val="14"/>
              </w:rPr>
              <w:t>Singapore ETF options</w:t>
            </w:r>
          </w:p>
        </w:tc>
        <w:tc>
          <w:tcPr>
            <w:tcW w:type="dxa" w:w="7776"/>
            <w:shd w:val="clear" w:color="auto" w:fill="F7F7F5"/>
          </w:tcPr>
          <w:p>
            <w:r>
              <w:rPr>
                <w:b w:val="0"/>
                <w:i w:val="0"/>
                <w:sz w:val="14"/>
              </w:rPr>
              <w:t>Bets traders place on a fund that tracks Singapore shares; more 'puts' means more people buying protection against a fall. The same for all 15 stocks.</w:t>
            </w:r>
          </w:p>
        </w:tc>
      </w:tr>
      <w:tr>
        <w:tc>
          <w:tcPr>
            <w:tcW w:type="dxa" w:w="2160"/>
          </w:tcPr>
          <w:p>
            <w:r>
              <w:rPr>
                <w:b/>
                <w:i w:val="0"/>
                <w:sz w:val="14"/>
              </w:rPr>
              <w:t>Normal 3-day swing</w:t>
            </w:r>
          </w:p>
        </w:tc>
        <w:tc>
          <w:tcPr>
            <w:tcW w:type="dxa" w:w="7776"/>
          </w:tcPr>
          <w:p>
            <w:r>
              <w:rPr>
                <w:b w:val="0"/>
                <w:i w:val="0"/>
                <w:sz w:val="14"/>
              </w:rPr>
              <w:t>How far the stock usually moves over three trading days (its recent daily volatility × √3); about 2 times in 3 the move stays inside it. A yardstick for whether a move is unusual.</w:t>
            </w:r>
          </w:p>
        </w:tc>
      </w:tr>
      <w:tr>
        <w:tc>
          <w:tcPr>
            <w:tcW w:type="dxa" w:w="2160"/>
            <w:shd w:val="clear" w:color="auto" w:fill="F7F7F5"/>
          </w:tcPr>
          <w:p>
            <w:r>
              <w:rPr>
                <w:b/>
                <w:i w:val="0"/>
                <w:sz w:val="14"/>
              </w:rPr>
              <w:t>Calmer than most</w:t>
            </w:r>
          </w:p>
        </w:tc>
        <w:tc>
          <w:tcPr>
            <w:tcW w:type="dxa" w:w="7776"/>
            <w:shd w:val="clear" w:color="auto" w:fill="F7F7F5"/>
          </w:tcPr>
          <w:p>
            <w:r>
              <w:rPr>
                <w:b w:val="0"/>
                <w:i w:val="0"/>
                <w:sz w:val="14"/>
              </w:rPr>
              <w:t>The five stocks with the highest chance of no big move in the forecast model's probabilities for the day.</w:t>
            </w:r>
          </w:p>
        </w:tc>
      </w:tr>
      <w:tr>
        <w:tc>
          <w:tcPr>
            <w:tcW w:type="dxa" w:w="2160"/>
          </w:tcPr>
          <w:p>
            <w:r>
              <w:rPr>
                <w:b/>
                <w:i w:val="0"/>
                <w:sz w:val="14"/>
              </w:rPr>
              <w:t>Forecast lean</w:t>
            </w:r>
          </w:p>
        </w:tc>
        <w:tc>
          <w:tcPr>
            <w:tcW w:type="dxa" w:w="7776"/>
          </w:tcPr>
          <w:p>
            <w:r>
              <w:rPr>
                <w:b w:val="0"/>
                <w:i w:val="0"/>
                <w:sz w:val="14"/>
              </w:rPr>
              <w:t>The forecast model's most likely outcome over the next three trading days: rise, fall or no big move, with the probability it gave. Probabilities are calibrated out-of-fold, so 50% means about half come true.</w:t>
            </w:r>
          </w:p>
        </w:tc>
      </w:tr>
      <w:tr>
        <w:tc>
          <w:tcPr>
            <w:tcW w:type="dxa" w:w="2160"/>
            <w:shd w:val="clear" w:color="auto" w:fill="F7F7F5"/>
          </w:tcPr>
          <w:p>
            <w:r>
              <w:rPr>
                <w:b/>
                <w:i w:val="0"/>
                <w:sz w:val="14"/>
              </w:rPr>
              <w:t>★  ⚑  ✓  ✗</w:t>
            </w:r>
          </w:p>
        </w:tc>
        <w:tc>
          <w:tcPr>
            <w:tcW w:type="dxa" w:w="7776"/>
            <w:shd w:val="clear" w:color="auto" w:fill="F7F7F5"/>
          </w:tcPr>
          <w:p>
            <w:r>
              <w:rPr>
                <w:b w:val="0"/>
                <w:i w:val="0"/>
                <w:sz w:val="14"/>
              </w:rPr>
              <w:t>★ more company-event news than usual. ⚑ worth a closer look: the price went against the news, or the news is silent while the model leans one way, and the model has a usable record on this stock. ✓ / ✗ the model's record on that stock is about as good as or better than / worse than always guessing its most common past outcome.</w:t>
            </w:r>
          </w:p>
        </w:tc>
      </w:tr>
    </w:tbl>
    <w:p>
      <w:pPr>
        <w:spacing w:after="40"/>
      </w:pPr>
      <w:r>
        <w:rPr>
          <w:b w:val="0"/>
          <w:i/>
          <w:color w:val="52514E"/>
          <w:sz w:val="14"/>
        </w:rPr>
        <w:t>General information about 15 listed companies, generated automatically from stored data. It is not financial advice or a recommendation to deal in any security, and it takes no account of your circumstances. Past patterns do not guarantee future results.</w:t>
      </w:r>
    </w:p>
    <w:sectPr w:rsidR="00FC693F" w:rsidRPr="0006063C" w:rsidSect="00034616">
      <w:footerReference w:type="default" r:id="rId9"/>
      <w:pgSz w:w="11906" w:h="16838"/>
      <w:pgMar w:top="850" w:right="1020"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898781"/>
        <w:sz w:val="15"/>
      </w:rPr>
      <w:t xml:space="preserve">SGX Daily Signal Report  ·  17 Aug 2026  ·  general information, not financial advice   ·   page </w:t>
    </w:r>
    <w:r>
      <w:rPr>
        <w:color w:val="898781"/>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