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Tuesday 18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12–18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-0.5% on average (4 up, 10 down); over 12–18 Aug they moved +0.4%. Weakest: Consumer Goods (-2.2%), REIT (-2.1%) and Financial Services (-0.8%); strongest: Industrials (+6.3%) and Telecommunications (+3.0%).</w:t>
      </w:r>
    </w:p>
    <w:p>
      <w:pPr>
        <w:pStyle w:val="ListBullet"/>
        <w:spacing w:after="40"/>
      </w:pPr>
      <w:r>
        <w:rPr>
          <w:b w:val="0"/>
          <w:i w:val="0"/>
          <w:sz w:val="19"/>
        </w:rPr>
        <w:t>Biggest movers over 12–18 Aug: ST Engineering (+9.3%), Sembcorp Industries (+7.4%) and Wilmar Intl (-6.6%). ST Engineering moved without a company news story; the move looks sector-wide. For Sembcorp Industries, the company news and the price disagree. For Wilmar Intl, the company news and the price point the same way. See section 2.</w:t>
      </w:r>
    </w:p>
    <w:p>
      <w:pPr>
        <w:pStyle w:val="ListBullet"/>
        <w:spacing w:after="40"/>
      </w:pPr>
      <w:r>
        <w:rPr>
          <w:b w:val="0"/>
          <w:i w:val="0"/>
          <w:sz w:val="19"/>
        </w:rPr>
        <w:t>The market backdrop is calm (VIX 14.2), but Singapore ETF options lean defensive (put/call 1.59): more traders are buying protection against a fall.</w:t>
      </w:r>
    </w:p>
    <w:p>
      <w:pPr>
        <w:pStyle w:val="ListBullet"/>
        <w:spacing w:after="40"/>
      </w:pPr>
      <w:r>
        <w:rPr>
          <w:b w:val="0"/>
          <w:i w:val="0"/>
          <w:sz w:val="19"/>
        </w:rPr>
        <w:t>Today's news added a positive signal for ComfortDelGro (already in the price), DBS Group (the price went the other way), OCBC Bank (the price went the other way), SGX Group (the price went the other way) and ten more. See section 2.</w:t>
      </w:r>
    </w:p>
    <w:p>
      <w:pPr>
        <w:pStyle w:val="ListBullet"/>
        <w:spacing w:after="40"/>
      </w:pPr>
      <w:r>
        <w:rPr>
          <w:b w:val="0"/>
          <w:i w:val="0"/>
          <w:sz w:val="19"/>
        </w:rPr>
        <w:t>The forecast model leans towards a rise for OCBC Bank, UOB and Mapletree Pan Asia Comm. Trust; a fall for Singtel, ST Engineering and Sembcorp Industries and no big move for the rest (only six stocks with a ✓ record); normal 3-day swings run from ±0.7% (Mapletree Industrial) to ±3.4% (ST Engineering), so a bigger move than a stock's own swing would be unusual. See section 3.</w:t>
      </w:r>
    </w:p>
    <w:p>
      <w:pPr>
        <w:pStyle w:val="ListBullet"/>
        <w:spacing w:after="40"/>
      </w:pPr>
      <w:r>
        <w:rPr>
          <w:b w:val="0"/>
          <w:i w:val="0"/>
          <w:sz w:val="19"/>
        </w:rPr>
        <w:t>No stock is flagged ⚑ today. The moves in ST Engineering came without company news, so sector or market news is the place to check before reacting. If you prefer less day-to-day movement, Mapletree Industrial, Raffles Medical Group, CapitaLand Integ. Comm. Trust, DBS Group and Wilmar Intl have the highest chance of no big move.</w:t>
      </w:r>
    </w:p>
    <w:p>
      <w:pPr>
        <w:spacing w:after="40"/>
      </w:pPr>
      <w:r>
        <w:rPr>
          <w:b w:val="0"/>
          <w:i w:val="0"/>
          <w:color w:val="52514E"/>
          <w:sz w:val="14"/>
        </w:rPr>
        <w:t>Drafted by code from the day's data and analysis; the AI writer (openai/gpt-oss-20b, the same model that writes the news summaries) checked it and kept the wording;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calm market, VIX below 15; Singapore ETF options lean negative;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12–18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ComfortDelGro ★</w:t>
            </w:r>
          </w:p>
        </w:tc>
        <w:tc>
          <w:tcPr>
            <w:tcW w:type="dxa" w:w="662"/>
          </w:tcPr>
          <w:p>
            <w:pPr>
              <w:jc w:val="right"/>
            </w:pPr>
            <w:r>
              <w:rPr>
                <w:b w:val="0"/>
                <w:i w:val="0"/>
                <w:color w:val="1C5CAB"/>
                <w:sz w:val="15"/>
              </w:rPr>
              <w:t>+0.7%</w:t>
            </w:r>
          </w:p>
        </w:tc>
        <w:tc>
          <w:tcPr>
            <w:tcW w:type="dxa" w:w="792"/>
          </w:tcPr>
          <w:p>
            <w:pPr>
              <w:jc w:val="right"/>
            </w:pPr>
            <w:r>
              <w:rPr>
                <w:b w:val="0"/>
                <w:i w:val="0"/>
                <w:color w:val="1C5CAB"/>
                <w:sz w:val="15"/>
              </w:rPr>
              <w:t>+2.2%</w:t>
            </w:r>
          </w:p>
        </w:tc>
        <w:tc>
          <w:tcPr>
            <w:tcW w:type="dxa" w:w="1037"/>
            <w:shd w:val="clear" w:color="auto" w:fill="DCEAFB"/>
          </w:tcPr>
          <w:p>
            <w:r>
              <w:rPr>
                <w:b/>
                <w:i w:val="0"/>
                <w:color w:val="1C5CAB"/>
                <w:sz w:val="15"/>
              </w:rPr>
              <w:t>Positive</w:t>
            </w:r>
          </w:p>
        </w:tc>
        <w:tc>
          <w:tcPr>
            <w:tcW w:type="dxa" w:w="1382"/>
          </w:tcPr>
          <w:p>
            <w:r>
              <w:rPr>
                <w:b w:val="0"/>
                <w:i w:val="0"/>
                <w:sz w:val="15"/>
              </w:rPr>
              <w:t>Mostly positive (39)</w:t>
            </w:r>
          </w:p>
        </w:tc>
        <w:tc>
          <w:tcPr>
            <w:tcW w:type="dxa" w:w="1872"/>
          </w:tcPr>
          <w:p>
            <w:r>
              <w:rPr>
                <w:b w:val="0"/>
                <w:i w:val="0"/>
                <w:sz w:val="15"/>
              </w:rPr>
              <w:t>Above range · Above avg price</w:t>
            </w:r>
          </w:p>
        </w:tc>
        <w:tc>
          <w:tcPr>
            <w:tcW w:type="dxa" w:w="1642"/>
          </w:tcPr>
          <w:p>
            <w:r>
              <w:rPr>
                <w:b w:val="0"/>
                <w:i w:val="0"/>
                <w:sz w:val="15"/>
              </w:rPr>
              <w:t>Price agreed</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A12D2C"/>
                <w:sz w:val="15"/>
              </w:rPr>
              <w:t>-1.5%</w:t>
            </w:r>
          </w:p>
        </w:tc>
        <w:tc>
          <w:tcPr>
            <w:tcW w:type="dxa" w:w="792"/>
            <w:shd w:val="clear" w:color="auto" w:fill="F7F7F5"/>
          </w:tcPr>
          <w:p>
            <w:pPr>
              <w:jc w:val="right"/>
            </w:pPr>
            <w:r>
              <w:rPr>
                <w:b w:val="0"/>
                <w:i w:val="0"/>
                <w:color w:val="A12D2C"/>
                <w:sz w:val="15"/>
              </w:rPr>
              <w:t>-0.6%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3</w:t>
            </w:r>
          </w:p>
        </w:tc>
        <w:tc>
          <w:tcPr>
            <w:tcW w:type="dxa" w:w="2189"/>
          </w:tcPr>
          <w:p>
            <w:r>
              <w:rPr>
                <w:b w:val="0"/>
                <w:i w:val="0"/>
                <w:sz w:val="15"/>
              </w:rPr>
              <w:t>OCBC Bank ★</w:t>
            </w:r>
          </w:p>
        </w:tc>
        <w:tc>
          <w:tcPr>
            <w:tcW w:type="dxa" w:w="662"/>
          </w:tcPr>
          <w:p>
            <w:pPr>
              <w:jc w:val="right"/>
            </w:pPr>
            <w:r>
              <w:rPr>
                <w:b w:val="0"/>
                <w:i w:val="0"/>
                <w:color w:val="A12D2C"/>
                <w:sz w:val="15"/>
              </w:rPr>
              <w:t>-1.9%</w:t>
            </w:r>
          </w:p>
        </w:tc>
        <w:tc>
          <w:tcPr>
            <w:tcW w:type="dxa" w:w="792"/>
          </w:tcPr>
          <w:p>
            <w:pPr>
              <w:jc w:val="right"/>
            </w:pPr>
            <w:r>
              <w:rPr>
                <w:b w:val="0"/>
                <w:i w:val="0"/>
                <w:color w:val="52514E"/>
                <w:sz w:val="15"/>
              </w:rPr>
              <w:t>+0.2%</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4</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A12D2C"/>
                <w:sz w:val="15"/>
              </w:rPr>
              <w:t>-1.9%</w:t>
            </w:r>
          </w:p>
        </w:tc>
        <w:tc>
          <w:tcPr>
            <w:tcW w:type="dxa" w:w="792"/>
            <w:shd w:val="clear" w:color="auto" w:fill="F7F7F5"/>
          </w:tcPr>
          <w:p>
            <w:pPr>
              <w:jc w:val="right"/>
            </w:pPr>
            <w:r>
              <w:rPr>
                <w:b w:val="0"/>
                <w:i w:val="0"/>
                <w:color w:val="A12D2C"/>
                <w:sz w:val="15"/>
              </w:rPr>
              <w:t>-0.8%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5</w:t>
            </w:r>
          </w:p>
        </w:tc>
        <w:tc>
          <w:tcPr>
            <w:tcW w:type="dxa" w:w="2189"/>
          </w:tcPr>
          <w:p>
            <w:r>
              <w:rPr>
                <w:b w:val="0"/>
                <w:i w:val="0"/>
                <w:sz w:val="15"/>
              </w:rPr>
              <w:t>ST Engineering ★</w:t>
            </w:r>
          </w:p>
        </w:tc>
        <w:tc>
          <w:tcPr>
            <w:tcW w:type="dxa" w:w="662"/>
          </w:tcPr>
          <w:p>
            <w:pPr>
              <w:jc w:val="right"/>
            </w:pPr>
            <w:r>
              <w:rPr>
                <w:b w:val="0"/>
                <w:i w:val="0"/>
                <w:color w:val="52514E"/>
                <w:sz w:val="15"/>
              </w:rPr>
              <w:t>+0.2%</w:t>
            </w:r>
          </w:p>
        </w:tc>
        <w:tc>
          <w:tcPr>
            <w:tcW w:type="dxa" w:w="792"/>
          </w:tcPr>
          <w:p>
            <w:pPr>
              <w:jc w:val="right"/>
            </w:pPr>
            <w:r>
              <w:rPr>
                <w:b w:val="0"/>
                <w:i w:val="0"/>
                <w:color w:val="1C5CAB"/>
                <w:sz w:val="15"/>
              </w:rPr>
              <w:t>+9.3%</w:t>
            </w:r>
          </w:p>
        </w:tc>
        <w:tc>
          <w:tcPr>
            <w:tcW w:type="dxa" w:w="1037"/>
            <w:shd w:val="clear" w:color="auto" w:fill="DCEAFB"/>
          </w:tcPr>
          <w:p>
            <w:r>
              <w:rPr>
                <w:b/>
                <w:i w:val="0"/>
                <w:color w:val="1C5CAB"/>
                <w:sz w:val="15"/>
              </w:rPr>
              <w:t>Positive</w:t>
            </w:r>
          </w:p>
        </w:tc>
        <w:tc>
          <w:tcPr>
            <w:tcW w:type="dxa" w:w="1382"/>
          </w:tcPr>
          <w:p>
            <w:r>
              <w:rPr>
                <w:b w:val="0"/>
                <w:i w:val="0"/>
                <w:sz w:val="15"/>
              </w:rPr>
              <w:t>Mixed (45)</w:t>
            </w:r>
          </w:p>
        </w:tc>
        <w:tc>
          <w:tcPr>
            <w:tcW w:type="dxa" w:w="1872"/>
          </w:tcPr>
          <w:p>
            <w:r>
              <w:rPr>
                <w:b w:val="0"/>
                <w:i w:val="0"/>
                <w:sz w:val="15"/>
              </w:rPr>
              <w:t>Above range · Above avg price</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(23)</w:t>
            </w:r>
          </w:p>
        </w:tc>
        <w:tc>
          <w:tcPr>
            <w:tcW w:type="dxa" w:w="1872"/>
            <w:shd w:val="clear" w:color="auto" w:fill="F7F7F5"/>
          </w:tcPr>
          <w:p>
            <w:r>
              <w:rPr>
                <w:b w:val="0"/>
                <w:i w:val="0"/>
                <w:sz w:val="15"/>
              </w:rPr>
              <w:t>—</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UOB ★</w:t>
            </w:r>
          </w:p>
        </w:tc>
        <w:tc>
          <w:tcPr>
            <w:tcW w:type="dxa" w:w="662"/>
          </w:tcPr>
          <w:p>
            <w:pPr>
              <w:jc w:val="right"/>
            </w:pPr>
            <w:r>
              <w:rPr>
                <w:b w:val="0"/>
                <w:i w:val="0"/>
                <w:color w:val="A12D2C"/>
                <w:sz w:val="15"/>
              </w:rPr>
              <w:t>-0.6%</w:t>
            </w:r>
          </w:p>
        </w:tc>
        <w:tc>
          <w:tcPr>
            <w:tcW w:type="dxa" w:w="792"/>
          </w:tcPr>
          <w:p>
            <w:pPr>
              <w:jc w:val="right"/>
            </w:pPr>
            <w:r>
              <w:rPr>
                <w:b w:val="0"/>
                <w:i w:val="0"/>
                <w:color w:val="A12D2C"/>
                <w:sz w:val="15"/>
              </w:rPr>
              <w:t>-1.0%</w:t>
            </w:r>
          </w:p>
        </w:tc>
        <w:tc>
          <w:tcPr>
            <w:tcW w:type="dxa" w:w="1037"/>
            <w:shd w:val="clear" w:color="auto" w:fill="DCEAFB"/>
          </w:tcPr>
          <w:p>
            <w:r>
              <w:rPr>
                <w:b/>
                <w:i w:val="0"/>
                <w:color w:val="1C5CAB"/>
                <w:sz w:val="15"/>
              </w:rPr>
              <w:t>Positive</w:t>
            </w:r>
          </w:p>
        </w:tc>
        <w:tc>
          <w:tcPr>
            <w:tcW w:type="dxa" w:w="1382"/>
          </w:tcPr>
          <w:p>
            <w:r>
              <w:rPr>
                <w:b w:val="0"/>
                <w:i w:val="0"/>
                <w:sz w:val="15"/>
              </w:rPr>
              <w:t>Mixed (48)</w:t>
            </w:r>
          </w:p>
        </w:tc>
        <w:tc>
          <w:tcPr>
            <w:tcW w:type="dxa" w:w="1872"/>
          </w:tcPr>
          <w:p>
            <w:r>
              <w:rPr>
                <w:b w:val="0"/>
                <w:i w:val="0"/>
                <w:sz w:val="15"/>
              </w:rPr>
              <w:t>Weekly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8</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A12D2C"/>
                <w:sz w:val="15"/>
              </w:rPr>
              <w:t>-1.6%</w:t>
            </w:r>
          </w:p>
        </w:tc>
        <w:tc>
          <w:tcPr>
            <w:tcW w:type="dxa" w:w="792"/>
            <w:shd w:val="clear" w:color="auto" w:fill="F7F7F5"/>
          </w:tcPr>
          <w:p>
            <w:pPr>
              <w:jc w:val="right"/>
            </w:pPr>
            <w:r>
              <w:rPr>
                <w:b w:val="0"/>
                <w:i w:val="0"/>
                <w:color w:val="A12D2C"/>
                <w:sz w:val="15"/>
              </w:rPr>
              <w:t>-4.8%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(28)</w:t>
            </w:r>
          </w:p>
        </w:tc>
        <w:tc>
          <w:tcPr>
            <w:tcW w:type="dxa" w:w="1872"/>
            <w:shd w:val="clear" w:color="auto" w:fill="F7F7F5"/>
          </w:tcPr>
          <w:p>
            <w:r>
              <w:rPr>
                <w:b w:val="0"/>
                <w:i w:val="0"/>
                <w:sz w:val="15"/>
              </w:rPr>
              <w:t>Below range · Above avg price</w:t>
            </w:r>
          </w:p>
        </w:tc>
        <w:tc>
          <w:tcPr>
            <w:tcW w:type="dxa" w:w="1642"/>
            <w:shd w:val="clear" w:color="auto" w:fill="F7F7F5"/>
          </w:tcPr>
          <w:p>
            <w:r>
              <w:rPr>
                <w:b w:val="0"/>
                <w:i w:val="0"/>
                <w:sz w:val="15"/>
              </w:rPr>
              <w:t>Price went the other way</w:t>
            </w:r>
          </w:p>
        </w:tc>
      </w:tr>
      <w:tr>
        <w:tc>
          <w:tcPr>
            <w:tcW w:type="dxa" w:w="360"/>
          </w:tcPr>
          <w:p>
            <w:r>
              <w:rPr>
                <w:b w:val="0"/>
                <w:i w:val="0"/>
                <w:sz w:val="15"/>
              </w:rPr>
              <w:t>9</w:t>
            </w:r>
          </w:p>
        </w:tc>
        <w:tc>
          <w:tcPr>
            <w:tcW w:type="dxa" w:w="2189"/>
          </w:tcPr>
          <w:p>
            <w:r>
              <w:rPr>
                <w:b w:val="0"/>
                <w:i w:val="0"/>
                <w:sz w:val="15"/>
              </w:rPr>
              <w:t>Sembcorp Industries ★</w:t>
            </w:r>
          </w:p>
        </w:tc>
        <w:tc>
          <w:tcPr>
            <w:tcW w:type="dxa" w:w="662"/>
          </w:tcPr>
          <w:p>
            <w:pPr>
              <w:jc w:val="right"/>
            </w:pPr>
            <w:r>
              <w:rPr>
                <w:b w:val="0"/>
                <w:i w:val="0"/>
                <w:color w:val="1C5CAB"/>
                <w:sz w:val="15"/>
              </w:rPr>
              <w:t>+1.8%</w:t>
            </w:r>
          </w:p>
        </w:tc>
        <w:tc>
          <w:tcPr>
            <w:tcW w:type="dxa" w:w="792"/>
          </w:tcPr>
          <w:p>
            <w:pPr>
              <w:jc w:val="right"/>
            </w:pPr>
            <w:r>
              <w:rPr>
                <w:b w:val="0"/>
                <w:i w:val="0"/>
                <w:color w:val="1C5CAB"/>
                <w:sz w:val="15"/>
              </w:rPr>
              <w:t>+7.4%</w:t>
            </w:r>
          </w:p>
        </w:tc>
        <w:tc>
          <w:tcPr>
            <w:tcW w:type="dxa" w:w="1037"/>
            <w:shd w:val="clear" w:color="auto" w:fill="DCEAFB"/>
          </w:tcPr>
          <w:p>
            <w:r>
              <w:rPr>
                <w:b/>
                <w:i w:val="0"/>
                <w:color w:val="1C5CAB"/>
                <w:sz w:val="15"/>
              </w:rPr>
              <w:t>Positive</w:t>
            </w:r>
          </w:p>
        </w:tc>
        <w:tc>
          <w:tcPr>
            <w:tcW w:type="dxa" w:w="1382"/>
          </w:tcPr>
          <w:p>
            <w:r>
              <w:rPr>
                <w:b w:val="0"/>
                <w:i w:val="0"/>
                <w:sz w:val="15"/>
              </w:rPr>
              <w:t>Mostly negative (26)</w:t>
            </w:r>
          </w:p>
        </w:tc>
        <w:tc>
          <w:tcPr>
            <w:tcW w:type="dxa" w:w="1872"/>
          </w:tcPr>
          <w:p>
            <w:r>
              <w:rPr>
                <w:b w:val="0"/>
                <w:i w:val="0"/>
                <w:sz w:val="15"/>
              </w:rPr>
              <w:t>Above range · Above avg price</w:t>
            </w:r>
          </w:p>
        </w:tc>
        <w:tc>
          <w:tcPr>
            <w:tcW w:type="dxa" w:w="1642"/>
          </w:tcPr>
          <w:p>
            <w:r>
              <w:rPr>
                <w:b w:val="0"/>
                <w:i w:val="0"/>
                <w:sz w:val="15"/>
              </w:rPr>
              <w:t>Price agreed</w:t>
            </w:r>
          </w:p>
        </w:tc>
      </w:tr>
      <w:tr>
        <w:tc>
          <w:tcPr>
            <w:tcW w:type="dxa" w:w="360"/>
            <w:shd w:val="clear" w:color="auto" w:fill="F7F7F5"/>
          </w:tcPr>
          <w:p>
            <w:r>
              <w:rPr>
                <w:b w:val="0"/>
                <w:i w:val="0"/>
                <w:sz w:val="15"/>
              </w:rPr>
              <w:t>10</w:t>
            </w:r>
          </w:p>
        </w:tc>
        <w:tc>
          <w:tcPr>
            <w:tcW w:type="dxa" w:w="2189"/>
            <w:shd w:val="clear" w:color="auto" w:fill="F7F7F5"/>
          </w:tcPr>
          <w:p>
            <w:r>
              <w:rPr>
                <w:b w:val="0"/>
                <w:i w:val="0"/>
                <w:sz w:val="15"/>
              </w:rPr>
              <w:t>Raffles Medical Group ★</w:t>
            </w:r>
          </w:p>
        </w:tc>
        <w:tc>
          <w:tcPr>
            <w:tcW w:type="dxa" w:w="662"/>
            <w:shd w:val="clear" w:color="auto" w:fill="F7F7F5"/>
          </w:tcPr>
          <w:p>
            <w:pPr>
              <w:jc w:val="right"/>
            </w:pPr>
            <w:r>
              <w:rPr>
                <w:b w:val="0"/>
                <w:i w:val="0"/>
                <w:color w:val="A12D2C"/>
                <w:sz w:val="15"/>
              </w:rPr>
              <w:t>-0.6%</w:t>
            </w:r>
          </w:p>
        </w:tc>
        <w:tc>
          <w:tcPr>
            <w:tcW w:type="dxa" w:w="792"/>
            <w:shd w:val="clear" w:color="auto" w:fill="F7F7F5"/>
          </w:tcPr>
          <w:p>
            <w:pPr>
              <w:jc w:val="right"/>
            </w:pPr>
            <w:r>
              <w:rPr>
                <w:b w:val="0"/>
                <w:i w:val="0"/>
                <w:color w:val="A12D2C"/>
                <w:sz w:val="15"/>
              </w:rPr>
              <w:t>-0.6%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(22)</w:t>
            </w:r>
          </w:p>
        </w:tc>
        <w:tc>
          <w:tcPr>
            <w:tcW w:type="dxa" w:w="1872"/>
            <w:shd w:val="clear" w:color="auto" w:fill="F7F7F5"/>
          </w:tcPr>
          <w:p>
            <w:r>
              <w:rPr>
                <w:b w:val="0"/>
                <w:i w:val="0"/>
                <w:sz w:val="15"/>
              </w:rPr>
              <w:t>Weekly down</w:t>
            </w:r>
          </w:p>
        </w:tc>
        <w:tc>
          <w:tcPr>
            <w:tcW w:type="dxa" w:w="1642"/>
            <w:shd w:val="clear" w:color="auto" w:fill="F7F7F5"/>
          </w:tcPr>
          <w:p>
            <w:r>
              <w:rPr>
                <w:b w:val="0"/>
                <w:i w:val="0"/>
                <w:sz w:val="15"/>
              </w:rPr>
              <w:t>Not yet in the price</w:t>
            </w:r>
          </w:p>
        </w:tc>
      </w:tr>
      <w:tr>
        <w:tc>
          <w:tcPr>
            <w:tcW w:type="dxa" w:w="360"/>
          </w:tcPr>
          <w:p>
            <w:r>
              <w:rPr>
                <w:b w:val="0"/>
                <w:i w:val="0"/>
                <w:sz w:val="15"/>
              </w:rPr>
              <w:t>11</w:t>
            </w:r>
          </w:p>
        </w:tc>
        <w:tc>
          <w:tcPr>
            <w:tcW w:type="dxa" w:w="2189"/>
          </w:tcPr>
          <w:p>
            <w:r>
              <w:rPr>
                <w:b w:val="0"/>
                <w:i w:val="0"/>
                <w:sz w:val="15"/>
              </w:rPr>
              <w:t>Singtel ★</w:t>
            </w:r>
          </w:p>
        </w:tc>
        <w:tc>
          <w:tcPr>
            <w:tcW w:type="dxa" w:w="662"/>
          </w:tcPr>
          <w:p>
            <w:pPr>
              <w:jc w:val="right"/>
            </w:pPr>
            <w:r>
              <w:rPr>
                <w:b w:val="0"/>
                <w:i w:val="0"/>
                <w:color w:val="A12D2C"/>
                <w:sz w:val="15"/>
              </w:rPr>
              <w:t>-0.4%</w:t>
            </w:r>
          </w:p>
        </w:tc>
        <w:tc>
          <w:tcPr>
            <w:tcW w:type="dxa" w:w="792"/>
          </w:tcPr>
          <w:p>
            <w:pPr>
              <w:jc w:val="right"/>
            </w:pPr>
            <w:r>
              <w:rPr>
                <w:b w:val="0"/>
                <w:i w:val="0"/>
                <w:color w:val="1C5CAB"/>
                <w:sz w:val="15"/>
              </w:rPr>
              <w:t>+3.0%</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t>
            </w:r>
          </w:p>
        </w:tc>
        <w:tc>
          <w:tcPr>
            <w:tcW w:type="dxa" w:w="1642"/>
          </w:tcPr>
          <w:p>
            <w:r>
              <w:rPr>
                <w:b w:val="0"/>
                <w:i w:val="0"/>
                <w:sz w:val="15"/>
              </w:rPr>
              <w:t>Not yet in the price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Mapletree Pan Asia Comm. Trust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A12D2C"/>
                <w:sz w:val="15"/>
              </w:rPr>
              <w:t>-1.6%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(20)</w:t>
            </w:r>
          </w:p>
        </w:tc>
        <w:tc>
          <w:tcPr>
            <w:tcW w:type="dxa" w:w="1872"/>
            <w:shd w:val="clear" w:color="auto" w:fill="F7F7F5"/>
          </w:tcPr>
          <w:p>
            <w:r>
              <w:rPr>
                <w:b w:val="0"/>
                <w:i w:val="0"/>
                <w:sz w:val="15"/>
              </w:rPr>
              <w:t>—</w:t>
            </w:r>
          </w:p>
        </w:tc>
        <w:tc>
          <w:tcPr>
            <w:tcW w:type="dxa" w:w="1642"/>
            <w:shd w:val="clear" w:color="auto" w:fill="F7F7F5"/>
          </w:tcPr>
          <w:p>
            <w:r>
              <w:rPr>
                <w:b w:val="0"/>
                <w:i w:val="0"/>
                <w:sz w:val="15"/>
              </w:rPr>
              <w:t>Price went the other way</w:t>
            </w:r>
          </w:p>
        </w:tc>
      </w:tr>
      <w:tr>
        <w:tc>
          <w:tcPr>
            <w:tcW w:type="dxa" w:w="360"/>
          </w:tcPr>
          <w:p>
            <w:r>
              <w:rPr>
                <w:b w:val="0"/>
                <w:i w:val="0"/>
                <w:sz w:val="15"/>
              </w:rPr>
              <w:t>13</w:t>
            </w:r>
          </w:p>
        </w:tc>
        <w:tc>
          <w:tcPr>
            <w:tcW w:type="dxa" w:w="2189"/>
          </w:tcPr>
          <w:p>
            <w:r>
              <w:rPr>
                <w:b w:val="0"/>
                <w:i w:val="0"/>
                <w:sz w:val="15"/>
              </w:rPr>
              <w:t>Keppel Corp ★</w:t>
            </w:r>
          </w:p>
        </w:tc>
        <w:tc>
          <w:tcPr>
            <w:tcW w:type="dxa" w:w="662"/>
          </w:tcPr>
          <w:p>
            <w:pPr>
              <w:jc w:val="right"/>
            </w:pPr>
            <w:r>
              <w:rPr>
                <w:b w:val="0"/>
                <w:i w:val="0"/>
                <w:color w:val="A12D2C"/>
                <w:sz w:val="15"/>
              </w:rPr>
              <w:t>-1.7%</w:t>
            </w:r>
          </w:p>
        </w:tc>
        <w:tc>
          <w:tcPr>
            <w:tcW w:type="dxa" w:w="792"/>
          </w:tcPr>
          <w:p>
            <w:pPr>
              <w:jc w:val="right"/>
            </w:pPr>
            <w:r>
              <w:rPr>
                <w:b w:val="0"/>
                <w:i w:val="0"/>
                <w:color w:val="1C5CAB"/>
                <w:sz w:val="15"/>
              </w:rPr>
              <w:t>+2.2%</w:t>
            </w:r>
          </w:p>
        </w:tc>
        <w:tc>
          <w:tcPr>
            <w:tcW w:type="dxa" w:w="1037"/>
            <w:shd w:val="clear" w:color="auto" w:fill="DCEAFB"/>
          </w:tcPr>
          <w:p>
            <w:r>
              <w:rPr>
                <w:b/>
                <w:i w:val="0"/>
                <w:color w:val="1C5CAB"/>
                <w:sz w:val="15"/>
              </w:rPr>
              <w:t>Positive</w:t>
            </w:r>
          </w:p>
        </w:tc>
        <w:tc>
          <w:tcPr>
            <w:tcW w:type="dxa" w:w="1382"/>
          </w:tcPr>
          <w:p>
            <w:r>
              <w:rPr>
                <w:b w:val="0"/>
                <w:i w:val="0"/>
                <w:sz w:val="15"/>
              </w:rPr>
              <w:t>Mixed (27)</w:t>
            </w:r>
          </w:p>
        </w:tc>
        <w:tc>
          <w:tcPr>
            <w:tcW w:type="dxa" w:w="1872"/>
          </w:tcPr>
          <w:p>
            <w:r>
              <w:rPr>
                <w:b w:val="0"/>
                <w:i w:val="0"/>
                <w:sz w:val="15"/>
              </w:rPr>
              <w:t>Above avg price</w:t>
            </w:r>
          </w:p>
        </w:tc>
        <w:tc>
          <w:tcPr>
            <w:tcW w:type="dxa" w:w="1642"/>
          </w:tcPr>
          <w:p>
            <w:r>
              <w:rPr>
                <w:b w:val="0"/>
                <w:i w:val="0"/>
                <w:sz w:val="15"/>
              </w:rPr>
              <w:t>Price went the other way</w:t>
            </w:r>
          </w:p>
        </w:tc>
      </w:tr>
      <w:tr>
        <w:tc>
          <w:tcPr>
            <w:tcW w:type="dxa" w:w="360"/>
            <w:shd w:val="clear" w:color="auto" w:fill="F7F7F5"/>
          </w:tcPr>
          <w:p>
            <w:r>
              <w:rPr>
                <w:b w:val="0"/>
                <w:i w:val="0"/>
                <w:sz w:val="15"/>
              </w:rPr>
              <w:t>14</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A12D2C"/>
                <w:sz w:val="15"/>
              </w:rPr>
              <w:t>-6.6%</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negative (23)</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A12D2C"/>
                <w:sz w:val="15"/>
              </w:rPr>
              <w:t>-0.5%</w:t>
            </w:r>
          </w:p>
        </w:tc>
        <w:tc>
          <w:tcPr>
            <w:tcW w:type="dxa" w:w="1037"/>
            <w:shd w:val="clear" w:color="auto" w:fill="EFEEEA"/>
          </w:tcPr>
          <w:p>
            <w:r>
              <w:rPr>
                <w:b/>
                <w:i w:val="0"/>
                <w:color w:val="52514E"/>
                <w:sz w:val="15"/>
              </w:rPr>
              <w:t>Neutral</w:t>
            </w:r>
          </w:p>
        </w:tc>
        <w:tc>
          <w:tcPr>
            <w:tcW w:type="dxa" w:w="1382"/>
          </w:tcPr>
          <w:p>
            <w:r>
              <w:rPr>
                <w:b w:val="0"/>
                <w:i w:val="0"/>
                <w:sz w:val="15"/>
              </w:rPr>
              <w:t>Mostly negative (22)</w:t>
            </w:r>
          </w:p>
        </w:tc>
        <w:tc>
          <w:tcPr>
            <w:tcW w:type="dxa" w:w="1872"/>
          </w:tcPr>
          <w:p>
            <w:r>
              <w:rPr>
                <w:b w:val="0"/>
                <w:i w:val="0"/>
                <w:sz w:val="15"/>
              </w:rPr>
              <w:t>—</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12–18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18.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OCBC Bank</w:t>
            </w:r>
            <w:r>
              <w:rPr>
                <w:b w:val="0"/>
                <w:i w:val="0"/>
                <w:color w:val="52514E"/>
                <w:sz w:val="17"/>
              </w:rPr>
              <w:t xml:space="preserve">   Banking  ·  +0.2% over 12–18 Aug</w:t>
            </w:r>
          </w:p>
          <w:p>
            <w:pPr>
              <w:spacing w:after="10" w:line="240" w:lineRule="auto"/>
            </w:pPr>
            <w:r>
              <w:rPr>
                <w:b/>
                <w:i w:val="0"/>
                <w:color w:val="1A2E55"/>
                <w:sz w:val="16"/>
              </w:rPr>
              <w:t xml:space="preserve">In short (AI-written, checked)  </w:t>
            </w:r>
            <w:r>
              <w:rPr>
                <w:b w:val="0"/>
                <w:i w:val="0"/>
                <w:sz w:val="16"/>
              </w:rPr>
              <w:t>OCBC Bank rose over 12–18 Aug but its price moved the other way today, despite mostly positive news. The news does not explain the move, and the forecast model suggests a rise with a 65% chance, though its record is only a weak signal.</w:t>
            </w:r>
          </w:p>
          <w:p>
            <w:pPr>
              <w:spacing w:after="10" w:line="240" w:lineRule="auto"/>
            </w:pPr>
            <w:r>
              <w:rPr>
                <w:b/>
                <w:i w:val="0"/>
                <w:color w:val="1A2E55"/>
                <w:sz w:val="16"/>
              </w:rPr>
              <w:t xml:space="preserve">What happened  </w:t>
            </w:r>
            <w:r>
              <w:rPr>
                <w:b w:val="0"/>
                <w:i w:val="0"/>
                <w:sz w:val="16"/>
              </w:rPr>
              <w:t>Rose 0.2% over 12–18 Aug; its biggest day was Tue 18 Aug (-1.9%). Today -1.9%.</w:t>
            </w:r>
          </w:p>
          <w:p>
            <w:pPr>
              <w:spacing w:after="10" w:line="240" w:lineRule="auto"/>
            </w:pPr>
            <w:r>
              <w:rPr>
                <w:b/>
                <w:i w:val="0"/>
                <w:color w:val="1A2E55"/>
                <w:sz w:val="16"/>
              </w:rPr>
              <w:t xml:space="preserve">Today: news vs price  </w:t>
            </w:r>
            <w:r>
              <w:rPr>
                <w:b w:val="0"/>
                <w:i w:val="0"/>
                <w:sz w:val="16"/>
              </w:rPr>
              <w:t>Positive reading, but the price fell 1.9%: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mostly positive; the price rose 0.2% over 12–18 Aug, its 2 sector peers -0.8% on average, and the 15 stocks +0.4% on average. So it barely moved over the period.</w:t>
            </w:r>
          </w:p>
          <w:p>
            <w:pPr>
              <w:spacing w:after="10" w:line="240" w:lineRule="auto"/>
            </w:pPr>
            <w:r>
              <w:rPr>
                <w:b/>
                <w:i w:val="0"/>
                <w:color w:val="1A2E55"/>
                <w:sz w:val="16"/>
              </w:rPr>
              <w:t xml:space="preserve">News today  </w:t>
            </w:r>
            <w:r>
              <w:rPr>
                <w:b w:val="0"/>
                <w:i w:val="0"/>
                <w:sz w:val="16"/>
              </w:rPr>
              <w:t>50 articles collected today: 23 positive, 14 negative, 13 neutral (mostly positive). Event tags: dividend, earnings, merger or acquisition, management change, upgrade.</w:t>
            </w:r>
          </w:p>
          <w:p>
            <w:pPr>
              <w:spacing w:after="10" w:line="240" w:lineRule="auto"/>
            </w:pPr>
            <w:r>
              <w:rPr>
                <w:b/>
                <w:i w:val="0"/>
                <w:color w:val="1A2E55"/>
                <w:sz w:val="16"/>
              </w:rPr>
              <w:t xml:space="preserve">Headlines  </w:t>
            </w:r>
            <w:r>
              <w:rPr>
                <w:b w:val="0"/>
                <w:i w:val="0"/>
                <w:sz w:val="16"/>
              </w:rPr>
              <w:t>+ “Can OCBC and UOB Top DBS’s Earnings Report?” (Yahoo Finance Singapore, 05 Aug)</w:t>
            </w:r>
          </w:p>
          <w:p>
            <w:pPr>
              <w:spacing w:after="10" w:line="240" w:lineRule="auto"/>
            </w:pPr>
            <w:r>
              <w:rPr>
                <w:b/>
                <w:i w:val="0"/>
                <w:color w:val="1A2E55"/>
                <w:sz w:val="16"/>
              </w:rPr>
              <w:t xml:space="preserve">Price chart  </w:t>
            </w:r>
            <w:r>
              <w:rPr>
                <w:b w:val="0"/>
                <w:i w:val="0"/>
                <w:sz w:val="16"/>
              </w:rPr>
              <w:t>RSI 69,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+0.92; positive above +0.35, negative below −0.35), and on 1 of the 1 earlier recorded day.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calm market +0.21, ETF options negative −0.10, political news +0.25 (unreliable, section 5).</w:t>
            </w:r>
          </w:p>
          <w:p>
            <w:pPr>
              <w:spacing w:after="10" w:line="240" w:lineRule="auto"/>
            </w:pPr>
            <w:r>
              <w:rPr>
                <w:b/>
                <w:i w:val="0"/>
                <w:color w:val="1A2E55"/>
                <w:sz w:val="16"/>
              </w:rPr>
              <w:t xml:space="preserve">AI summary of the evidence (checked)  </w:t>
            </w:r>
            <w:r>
              <w:rPr>
                <w:b w:val="0"/>
                <w:i w:val="0"/>
                <w:sz w:val="16"/>
              </w:rPr>
              <w:t>OCBC Bank remains positive on the back of a risk‑on macro regime and positive geopolitical developments, such as the US‑Iran ceasefire that has calmed market nerves. Record‑high share prices and dividend growth, highlighted in the weekly review, reinforce the positive corporate narrative. ML-model analysis shows that high political news volume and a low VIX further lift the stock, while the positive macro regime and momentum indicators add weight. However, options market negative positioning and the potential for a VIX spike introduce caution, though the overall outlook stays positive.</w:t>
            </w:r>
          </w:p>
          <w:p>
            <w:pPr>
              <w:spacing w:after="10" w:line="240" w:lineRule="auto"/>
            </w:pPr>
            <w:r>
              <w:rPr>
                <w:b/>
                <w:i w:val="0"/>
                <w:color w:val="1A2E55"/>
                <w:sz w:val="16"/>
              </w:rPr>
              <w:t xml:space="preserve">Forecast lean  </w:t>
            </w:r>
            <w:r>
              <w:rPr>
                <w:b w:val="0"/>
                <w:i w:val="0"/>
                <w:sz w:val="16"/>
              </w:rPr>
              <w:t>Rise over the next 3 trading days (chance 65%); its normal 3-day swing is ±2.9%.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ST Engineering</w:t>
            </w:r>
            <w:r>
              <w:rPr>
                <w:b w:val="0"/>
                <w:i w:val="0"/>
                <w:color w:val="52514E"/>
                <w:sz w:val="17"/>
              </w:rPr>
              <w:t xml:space="preserve">   Industrials  ·  +9.3% over 12–18 Aug</w:t>
            </w:r>
          </w:p>
          <w:p>
            <w:pPr>
              <w:spacing w:after="10" w:line="240" w:lineRule="auto"/>
            </w:pPr>
            <w:r>
              <w:rPr>
                <w:b/>
                <w:i w:val="0"/>
                <w:color w:val="1A2E55"/>
                <w:sz w:val="16"/>
              </w:rPr>
              <w:t xml:space="preserve">In short (AI-written, checked)  </w:t>
            </w:r>
            <w:r>
              <w:rPr>
                <w:b w:val="0"/>
                <w:i w:val="0"/>
                <w:sz w:val="16"/>
              </w:rPr>
              <w:t>ST Engineering rose over 12–18 Aug and today’s mixed news has not yet been reflected in its price. The news does not clearly explain the move, and the forecast model predicts a fall with a 50% chance, but its record remains a weak signal.</w:t>
            </w:r>
          </w:p>
          <w:p>
            <w:pPr>
              <w:spacing w:after="10" w:line="240" w:lineRule="auto"/>
            </w:pPr>
            <w:r>
              <w:rPr>
                <w:b/>
                <w:i w:val="0"/>
                <w:color w:val="1A2E55"/>
                <w:sz w:val="16"/>
              </w:rPr>
              <w:t xml:space="preserve">What happened  </w:t>
            </w:r>
            <w:r>
              <w:rPr>
                <w:b w:val="0"/>
                <w:i w:val="0"/>
                <w:sz w:val="16"/>
              </w:rPr>
              <w:t>Rose 9.3% over 12–18 Aug, most of it on Fri 14 Aug (+5.8%). Today +0.2%.</w:t>
            </w:r>
          </w:p>
          <w:p>
            <w:pPr>
              <w:spacing w:after="10" w:line="240" w:lineRule="auto"/>
            </w:pPr>
            <w:r>
              <w:rPr>
                <w:b/>
                <w:i w:val="0"/>
                <w:color w:val="1A2E55"/>
                <w:sz w:val="16"/>
              </w:rPr>
              <w:t xml:space="preserve">Today: news vs price  </w:t>
            </w:r>
            <w:r>
              <w:rPr>
                <w:b w:val="0"/>
                <w:i w:val="0"/>
                <w:sz w:val="16"/>
              </w:rPr>
              <w:t>Positive reading, but the price rose 0.2%, within a normal day's ±0.6%: the news has not shown up in the price. The forecast model expects the opposite. (Pattern: Muted, fading.)</w:t>
            </w:r>
          </w:p>
          <w:p>
            <w:pPr>
              <w:spacing w:after="10" w:line="240" w:lineRule="auto"/>
            </w:pPr>
            <w:r>
              <w:rPr>
                <w:b/>
                <w:i w:val="0"/>
                <w:color w:val="1A2E55"/>
                <w:sz w:val="16"/>
              </w:rPr>
              <w:t xml:space="preserve">Last 5 days in context  </w:t>
            </w:r>
            <w:r>
              <w:rPr>
                <w:b w:val="0"/>
                <w:i w:val="0"/>
                <w:sz w:val="16"/>
              </w:rPr>
              <w:t>Company news collected today was mixed; the price rose 9.3% over 12–18 Aug, its 2 sector peers +4.8% on average, and the 15 stocks +0.4% on average. So there is no company story in the news, and the move looks sector-wide.</w:t>
            </w:r>
          </w:p>
          <w:p>
            <w:pPr>
              <w:spacing w:after="10" w:line="240" w:lineRule="auto"/>
            </w:pPr>
            <w:r>
              <w:rPr>
                <w:b/>
                <w:i w:val="0"/>
                <w:color w:val="1A2E55"/>
                <w:sz w:val="16"/>
              </w:rPr>
              <w:t xml:space="preserve">News today  </w:t>
            </w:r>
            <w:r>
              <w:rPr>
                <w:b w:val="0"/>
                <w:i w:val="0"/>
                <w:sz w:val="16"/>
              </w:rPr>
              <w:t>45 articles collected today: 18 positive, 12 negative, 15 neutral (mixed). Event tags: dividend, earnings, management change.</w:t>
            </w:r>
          </w:p>
          <w:p>
            <w:pPr>
              <w:spacing w:after="10" w:line="240" w:lineRule="auto"/>
            </w:pPr>
            <w:r>
              <w:rPr>
                <w:b/>
                <w:i w:val="0"/>
                <w:color w:val="1A2E55"/>
                <w:sz w:val="16"/>
              </w:rPr>
              <w:t xml:space="preserve">Headlines  </w:t>
            </w:r>
            <w:r>
              <w:rPr>
                <w:b w:val="0"/>
                <w:i w:val="0"/>
                <w:sz w:val="16"/>
              </w:rPr>
              <w:t>+ “Genting, Sembcorp, ST Engineering: Top Blue-Chip Stocks to Watch This Week” (thesmartinvestor.com.sg, 10 Aug)   − “Stocks to watch: SIA, Elite UK Reit, Koh Brothers Eco Engineering” (Business Times, 18 Aug)</w:t>
            </w:r>
          </w:p>
          <w:p>
            <w:pPr>
              <w:spacing w:after="10" w:line="240" w:lineRule="auto"/>
            </w:pPr>
            <w:r>
              <w:rPr>
                <w:b/>
                <w:i w:val="0"/>
                <w:color w:val="1A2E55"/>
                <w:sz w:val="16"/>
              </w:rPr>
              <w:t xml:space="preserve">Price chart  </w:t>
            </w:r>
            <w:r>
              <w:rPr>
                <w:b w:val="0"/>
                <w:i w:val="0"/>
                <w:sz w:val="16"/>
              </w:rPr>
              <w:t>RSI 66, between 30 and 70: no unusually fast move; price above its usual range (Bollinger band); price above its volume-weighted average.</w:t>
            </w:r>
          </w:p>
          <w:p>
            <w:pPr>
              <w:spacing w:after="10" w:line="240" w:lineRule="auto"/>
            </w:pPr>
            <w:r>
              <w:rPr>
                <w:b/>
                <w:i w:val="0"/>
                <w:color w:val="1A2E55"/>
                <w:sz w:val="16"/>
              </w:rPr>
              <w:t xml:space="preserve">News &amp; signals reading  </w:t>
            </w:r>
            <w:r>
              <w:rPr>
                <w:b w:val="0"/>
                <w:i w:val="0"/>
                <w:sz w:val="16"/>
              </w:rPr>
              <w:t>Positive today (score +0.83; positive above +0.35, negative below −0.35), and on 1 of the 1 earlier recorded day. No single rule decides it.</w:t>
            </w:r>
          </w:p>
          <w:p>
            <w:pPr>
              <w:spacing w:after="10" w:line="240" w:lineRule="auto"/>
            </w:pPr>
            <w:r>
              <w:rPr>
                <w:b/>
                <w:i w:val="0"/>
                <w:color w:val="1A2E55"/>
                <w:sz w:val="16"/>
              </w:rPr>
              <w:t xml:space="preserve">Rules behind the reading  </w:t>
            </w:r>
            <w:r>
              <w:rPr>
                <w:b w:val="0"/>
                <w:i w:val="0"/>
                <w:sz w:val="16"/>
              </w:rPr>
              <w:t>Up: above usual range +0.24, earnings/dividend headlines +0.20, above average price +0.02. Market-wide: calm market +0.21, ETF options negative −0.10, political news +0.25 (unreliable, section 5).</w:t>
            </w:r>
          </w:p>
          <w:p>
            <w:pPr>
              <w:spacing w:after="10" w:line="240" w:lineRule="auto"/>
            </w:pPr>
            <w:r>
              <w:rPr>
                <w:b/>
                <w:i w:val="0"/>
                <w:color w:val="1A2E55"/>
                <w:sz w:val="16"/>
              </w:rPr>
              <w:t xml:space="preserve">AI summary of the evidence (checked)  </w:t>
            </w:r>
            <w:r>
              <w:rPr>
                <w:b w:val="0"/>
                <w:i w:val="0"/>
                <w:sz w:val="16"/>
              </w:rPr>
              <w:t>ST Engineering remains positive on the back of a risk‑on macro regime and a positive geopolitical backdrop that has lifted defence‑related stocks, as seen in the recent rally where the company jumped 7.2% to S$10.99. The stock’s price is above the upper Bollinger band and the VIX sits at a low 14.25, signalling strong momentum and low volatility. Corporate news such as the defence‑sector focus in the Business Times and the 7% YoY revenue growth in 2025 further support the outlook. However, options market negative positioning and a slight RSI dip suggest some short‑term caution, and the ongoing Middle East tensions could trigger a VIX spike. Overall, the consensus remains positive, with confidence around 0.78.</w:t>
            </w:r>
          </w:p>
          <w:p>
            <w:pPr>
              <w:spacing w:after="10" w:line="240" w:lineRule="auto"/>
            </w:pPr>
            <w:r>
              <w:rPr>
                <w:b/>
                <w:i w:val="0"/>
                <w:color w:val="1A2E55"/>
                <w:sz w:val="16"/>
              </w:rPr>
              <w:t xml:space="preserve">Forecast lean  </w:t>
            </w:r>
            <w:r>
              <w:rPr>
                <w:b w:val="0"/>
                <w:i w:val="0"/>
                <w:sz w:val="16"/>
              </w:rPr>
              <w:t>Fall over the next 3 trading days (chance 50%); its normal 3-day swing is ±3.4%.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UOB</w:t>
            </w:r>
            <w:r>
              <w:rPr>
                <w:b w:val="0"/>
                <w:i w:val="0"/>
                <w:color w:val="52514E"/>
                <w:sz w:val="17"/>
              </w:rPr>
              <w:t xml:space="preserve">   Banking  ·  -1.0% over 12–18 Aug</w:t>
            </w:r>
          </w:p>
          <w:p>
            <w:pPr>
              <w:spacing w:after="10" w:line="240" w:lineRule="auto"/>
            </w:pPr>
            <w:r>
              <w:rPr>
                <w:b/>
                <w:i w:val="0"/>
                <w:color w:val="1A2E55"/>
                <w:sz w:val="16"/>
              </w:rPr>
              <w:t xml:space="preserve">In short (AI-written, checked)  </w:t>
            </w:r>
            <w:r>
              <w:rPr>
                <w:b w:val="0"/>
                <w:i w:val="0"/>
                <w:sz w:val="16"/>
              </w:rPr>
              <w:t>UOB fell over 12–18 Aug and today’s mixed news pushed its price in the opposite direction. The news does not explain the move, and the forecast model expects a rise with a 97% chance, yet its record is still only a weak signal.</w:t>
            </w:r>
          </w:p>
          <w:p>
            <w:pPr>
              <w:spacing w:after="10" w:line="240" w:lineRule="auto"/>
            </w:pPr>
            <w:r>
              <w:rPr>
                <w:b/>
                <w:i w:val="0"/>
                <w:color w:val="1A2E55"/>
                <w:sz w:val="16"/>
              </w:rPr>
              <w:t xml:space="preserve">What happened  </w:t>
            </w:r>
            <w:r>
              <w:rPr>
                <w:b w:val="0"/>
                <w:i w:val="0"/>
                <w:sz w:val="16"/>
              </w:rPr>
              <w:t>Fell 1.0% over 12–18 Aug; its biggest day was Tue 18 Aug (-0.6%). Today -0.6%.</w:t>
            </w:r>
          </w:p>
          <w:p>
            <w:pPr>
              <w:spacing w:after="10" w:line="240" w:lineRule="auto"/>
            </w:pPr>
            <w:r>
              <w:rPr>
                <w:b/>
                <w:i w:val="0"/>
                <w:color w:val="1A2E55"/>
                <w:sz w:val="16"/>
              </w:rPr>
              <w:t xml:space="preserve">Today: news vs price  </w:t>
            </w:r>
            <w:r>
              <w:rPr>
                <w:b w:val="0"/>
                <w:i w:val="0"/>
                <w:sz w:val="16"/>
              </w:rPr>
              <w:t>Positive reading, but the price fell 0.6%: the price went against the news. The forecast model sides with the news. (Pattern: Lag.)</w:t>
            </w:r>
          </w:p>
          <w:p>
            <w:pPr>
              <w:spacing w:after="10" w:line="240" w:lineRule="auto"/>
            </w:pPr>
            <w:r>
              <w:rPr>
                <w:b/>
                <w:i w:val="0"/>
                <w:color w:val="1A2E55"/>
                <w:sz w:val="16"/>
              </w:rPr>
              <w:t xml:space="preserve">Last 5 days in context  </w:t>
            </w:r>
            <w:r>
              <w:rPr>
                <w:b w:val="0"/>
                <w:i w:val="0"/>
                <w:sz w:val="16"/>
              </w:rPr>
              <w:t>Company news collected today was mixed; the price fell 1.0% over 12–18 Aug, its 2 sector peers -0.2% on average, and the 15 stocks +0.4% on average. So it barely moved over the period.</w:t>
            </w:r>
          </w:p>
          <w:p>
            <w:pPr>
              <w:spacing w:after="10" w:line="240" w:lineRule="auto"/>
            </w:pPr>
            <w:r>
              <w:rPr>
                <w:b/>
                <w:i w:val="0"/>
                <w:color w:val="1A2E55"/>
                <w:sz w:val="16"/>
              </w:rPr>
              <w:t xml:space="preserve">News today  </w:t>
            </w:r>
            <w:r>
              <w:rPr>
                <w:b w:val="0"/>
                <w:i w:val="0"/>
                <w:sz w:val="16"/>
              </w:rPr>
              <w:t>48 articles collected today: 18 positive, 17 negative, 13 neutral (mixed). Event tags: dividend, earnings, merger or acquisition, upgrade.</w:t>
            </w:r>
          </w:p>
          <w:p>
            <w:pPr>
              <w:spacing w:after="10" w:line="240" w:lineRule="auto"/>
            </w:pPr>
            <w:r>
              <w:rPr>
                <w:b/>
                <w:i w:val="0"/>
                <w:color w:val="1A2E55"/>
                <w:sz w:val="16"/>
              </w:rPr>
              <w:t xml:space="preserve">Headlines  </w:t>
            </w:r>
            <w:r>
              <w:rPr>
                <w:b w:val="0"/>
                <w:i w:val="0"/>
                <w:sz w:val="16"/>
              </w:rPr>
              <w:t>+ “DBS vs OCBC vs UOB: Which Bank Delivered the Best Results and Dividend?” (thesmartinvestor.com.sg, 10 Aug)   − “Stocks to watch: UOB, OCBC, StarHub, SGX, Yangzijiang Shipbuilding, Venture, JustCo” (The Business Times, 07 Aug)</w:t>
            </w:r>
          </w:p>
          <w:p>
            <w:pPr>
              <w:spacing w:after="10" w:line="240" w:lineRule="auto"/>
            </w:pPr>
            <w:r>
              <w:rPr>
                <w:b/>
                <w:i w:val="0"/>
                <w:color w:val="1A2E55"/>
                <w:sz w:val="16"/>
              </w:rPr>
              <w:t xml:space="preserve">Price chart  </w:t>
            </w:r>
            <w:r>
              <w:rPr>
                <w:b w:val="0"/>
                <w:i w:val="0"/>
                <w:sz w:val="16"/>
              </w:rPr>
              <w:t>RSI 43,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+0.73; positive above +0.35, negative below −0.35), and on 1 of the 1 earlier recorded day. No single rule decides it.</w:t>
            </w:r>
          </w:p>
          <w:p>
            <w:pPr>
              <w:spacing w:after="10" w:line="240" w:lineRule="auto"/>
            </w:pPr>
            <w:r>
              <w:rPr>
                <w:b/>
                <w:i w:val="0"/>
                <w:color w:val="1A2E55"/>
                <w:sz w:val="16"/>
              </w:rPr>
              <w:t xml:space="preserve">Rules behind the reading  </w:t>
            </w:r>
            <w:r>
              <w:rPr>
                <w:b w:val="0"/>
                <w:i w:val="0"/>
                <w:sz w:val="16"/>
              </w:rPr>
              <w:t>Up: earnings/dividend headlines +0.20, weekly trend up +0.15, above average price +0.02. Market-wide: calm market +0.21, ETF options negative −0.10, political news +0.25 (unreliable, section 5).</w:t>
            </w:r>
          </w:p>
          <w:p>
            <w:pPr>
              <w:spacing w:after="10" w:line="240" w:lineRule="auto"/>
            </w:pPr>
            <w:r>
              <w:rPr>
                <w:b/>
                <w:i w:val="0"/>
                <w:color w:val="1A2E55"/>
                <w:sz w:val="16"/>
              </w:rPr>
              <w:t xml:space="preserve">AI summary of the evidence (checked)  </w:t>
            </w:r>
            <w:r>
              <w:rPr>
                <w:b w:val="0"/>
                <w:i w:val="0"/>
                <w:sz w:val="16"/>
              </w:rPr>
              <w:t>UOB remains positive on the back of a Risk‑On macro regime, positive geopolitical backdrop, and recent corporate events, all of which are reinforced by a price above VWAP and a low VIX that signals market complacency. ML-model analysis highlights political news volume, VIX, macro regime, RSI, and news coverage volume as key drivers of the next‑day return, aligning with the rule‑based positive factors.</w:t>
            </w:r>
          </w:p>
          <w:p>
            <w:pPr>
              <w:spacing w:after="10" w:line="240" w:lineRule="auto"/>
            </w:pPr>
            <w:r>
              <w:rPr>
                <w:b/>
                <w:i w:val="0"/>
                <w:color w:val="1A2E55"/>
                <w:sz w:val="16"/>
              </w:rPr>
              <w:t xml:space="preserve">Forecast lean  </w:t>
            </w:r>
            <w:r>
              <w:rPr>
                <w:b w:val="0"/>
                <w:i w:val="0"/>
                <w:sz w:val="16"/>
              </w:rPr>
              <w:t>Rise over the next 3 trading days (chance 97%); its normal 3-day swing is ±1.6%.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&gt;99%</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94%</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UOB</w:t>
            </w:r>
          </w:p>
        </w:tc>
        <w:tc>
          <w:tcPr>
            <w:tcW w:type="dxa" w:w="1368"/>
          </w:tcPr>
          <w:p>
            <w:pPr>
              <w:keepNext/>
              <w:jc w:val="right"/>
            </w:pPr>
            <w:r>
              <w:rPr>
                <w:b w:val="0"/>
                <w:i w:val="0"/>
                <w:sz w:val="16"/>
              </w:rPr>
              <w:t>±1.6%</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±1.7%</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78%</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CapitaLand Integ. Comm. Trust</w:t>
            </w:r>
          </w:p>
        </w:tc>
        <w:tc>
          <w:tcPr>
            <w:tcW w:type="dxa" w:w="1368"/>
          </w:tcPr>
          <w:p>
            <w:pPr>
              <w:keepNext/>
              <w:jc w:val="right"/>
            </w:pPr>
            <w:r>
              <w:rPr>
                <w:b w:val="0"/>
                <w:i w:val="0"/>
                <w:sz w:val="16"/>
              </w:rPr>
              <w:t>±1.8%</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SGX Group</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76%</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Mapletree Pan Asia Comm. Trust</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98%</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DBS Group</w:t>
            </w:r>
          </w:p>
        </w:tc>
        <w:tc>
          <w:tcPr>
            <w:tcW w:type="dxa" w:w="1368"/>
          </w:tcPr>
          <w:p>
            <w:pPr>
              <w:keepNext/>
              <w:jc w:val="right"/>
            </w:pPr>
            <w:r>
              <w:rPr>
                <w:b w:val="0"/>
                <w:i w:val="0"/>
                <w:sz w:val="16"/>
              </w:rPr>
              <w:t>±2.0%</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99%</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Wilmar Intl</w:t>
            </w:r>
          </w:p>
        </w:tc>
        <w:tc>
          <w:tcPr>
            <w:tcW w:type="dxa" w:w="1368"/>
          </w:tcPr>
          <w:p>
            <w:pPr>
              <w:keepNext/>
              <w:jc w:val="right"/>
            </w:pPr>
            <w:r>
              <w:rPr>
                <w:b w:val="0"/>
                <w:i w:val="0"/>
                <w:sz w:val="16"/>
              </w:rPr>
              <w:t>±2.9%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95%</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65%</w:t>
            </w:r>
          </w:p>
        </w:tc>
        <w:tc>
          <w:tcPr>
            <w:tcW w:type="dxa" w:w="2016"/>
            <w:shd w:val="clear" w:color="auto" w:fill="E4F3E4"/>
          </w:tcPr>
          <w:p>
            <w:pPr>
              <w:keepNext/>
            </w:pPr>
            <w:r>
              <w:rPr>
                <w:b/>
                <w:i w:val="0"/>
                <w:color w:val="0A6E0A"/>
                <w:sz w:val="16"/>
              </w:rPr>
              <w:t>too new</w:t>
            </w:r>
          </w:p>
        </w:tc>
      </w:tr>
      <w:tr>
        <w:tc>
          <w:tcPr>
            <w:tcW w:type="dxa" w:w="2664"/>
          </w:tcPr>
          <w:p>
            <w:pPr>
              <w:keepNext/>
            </w:pPr>
            <w:r>
              <w:rPr>
                <w:b w:val="0"/>
                <w:i w:val="0"/>
                <w:sz w:val="16"/>
              </w:rPr>
              <w:t>Sembcorp Industries</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A12D2C"/>
                <w:sz w:val="16"/>
              </w:rPr>
              <w:t>Fall</w:t>
            </w:r>
          </w:p>
        </w:tc>
        <w:tc>
          <w:tcPr>
            <w:tcW w:type="dxa" w:w="1008"/>
          </w:tcPr>
          <w:p>
            <w:pPr>
              <w:keepNext/>
              <w:jc w:val="right"/>
            </w:pPr>
            <w:r>
              <w:rPr>
                <w:b w:val="0"/>
                <w:i w:val="0"/>
                <w:sz w:val="16"/>
              </w:rPr>
              <w:t>61%</w:t>
            </w:r>
          </w:p>
        </w:tc>
        <w:tc>
          <w:tcPr>
            <w:tcW w:type="dxa" w:w="2016"/>
            <w:shd w:val="clear" w:color="auto" w:fill="E4F3E4"/>
          </w:tcPr>
          <w:p>
            <w:pPr>
              <w:keepNext/>
            </w:pPr>
            <w:r>
              <w:rPr>
                <w:b/>
                <w:i w:val="0"/>
                <w:color w:val="0A6E0A"/>
                <w:sz w:val="16"/>
              </w:rPr>
              <w:t>too new</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±3.1%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93%</w:t>
            </w:r>
          </w:p>
        </w:tc>
        <w:tc>
          <w:tcPr>
            <w:tcW w:type="dxa" w:w="2016"/>
            <w:shd w:val="clear" w:color="auto" w:fill="E4F3E4"/>
          </w:tcPr>
          <w:p>
            <w:pPr>
              <w:keepNext/>
            </w:pPr>
            <w:r>
              <w:rPr>
                <w:b/>
                <w:i w:val="0"/>
                <w:color w:val="0A6E0A"/>
                <w:sz w:val="16"/>
              </w:rPr>
              <w:t>too new</w:t>
            </w:r>
          </w:p>
        </w:tc>
      </w:tr>
      <w:tr>
        <w:tc>
          <w:tcPr>
            <w:tcW w:type="dxa" w:w="2664"/>
          </w:tcPr>
          <w:p>
            <w:r>
              <w:rPr>
                <w:b w:val="0"/>
                <w:i w:val="0"/>
                <w:sz w:val="16"/>
              </w:rPr>
              <w:t>ST Engineering</w:t>
            </w:r>
          </w:p>
        </w:tc>
        <w:tc>
          <w:tcPr>
            <w:tcW w:type="dxa" w:w="1368"/>
          </w:tcPr>
          <w:p>
            <w:pPr>
              <w:jc w:val="right"/>
            </w:pPr>
            <w:r>
              <w:rPr>
                <w:b w:val="0"/>
                <w:i w:val="0"/>
                <w:sz w:val="16"/>
              </w:rPr>
              <w:t>±3.4%</w:t>
            </w:r>
          </w:p>
        </w:tc>
        <w:tc>
          <w:tcPr>
            <w:tcW w:type="dxa" w:w="1440"/>
          </w:tcPr>
          <w:p>
            <w:r>
              <w:rPr>
                <w:b w:val="0"/>
                <w:i w:val="0"/>
                <w:sz w:val="16"/>
              </w:rPr>
            </w:r>
          </w:p>
        </w:tc>
        <w:tc>
          <w:tcPr>
            <w:tcW w:type="dxa" w:w="1440"/>
          </w:tcPr>
          <w:p>
            <w:r>
              <w:rPr>
                <w:b w:val="0"/>
                <w:i w:val="0"/>
                <w:color w:val="A12D2C"/>
                <w:sz w:val="16"/>
              </w:rPr>
              <w:t>Fall</w:t>
            </w:r>
          </w:p>
        </w:tc>
        <w:tc>
          <w:tcPr>
            <w:tcW w:type="dxa" w:w="1008"/>
          </w:tcPr>
          <w:p>
            <w:pPr>
              <w:jc w:val="right"/>
            </w:pPr>
            <w:r>
              <w:rPr>
                <w:b w:val="0"/>
                <w:i w:val="0"/>
                <w:sz w:val="16"/>
              </w:rPr>
              <w:t>50%</w:t>
            </w:r>
          </w:p>
        </w:tc>
        <w:tc>
          <w:tcPr>
            <w:tcW w:type="dxa" w:w="2016"/>
            <w:shd w:val="clear" w:color="auto" w:fill="E4F3E4"/>
          </w:tcPr>
          <w:p>
            <w:r>
              <w:rPr>
                <w:b/>
                <w:i w:val="0"/>
                <w:color w:val="0A6E0A"/>
                <w:sz w:val="16"/>
              </w:rPr>
              <w:t>too new</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Raffles Medical Group, CapitaLand Integ. Comm. Trust, DBS Group and Wilmar Intl: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Only 0 live forecasts had matured by this date, too few to quote a record; treat every call as unproven.</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523 company news articles (each read as positive, negative or neutral by FinBERT, a finance language model) and 71 political articles; price-chart indicators (RSI, MACD, Bollinger bands, VWAP, weekly trend); the market backdrop (VIX 14.2, US yield spread); Singapore ETF options positioning (put/call 1.59).</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Noise (4)</w:t>
            </w:r>
          </w:p>
        </w:tc>
        <w:tc>
          <w:tcPr>
            <w:tcW w:type="dxa" w:w="3312"/>
          </w:tcPr>
          <w:p>
            <w:r>
              <w:rPr>
                <w:b w:val="0"/>
                <w:i w:val="0"/>
                <w:sz w:val="15"/>
              </w:rPr>
              <w:t>DBS Group, CapitaLand Integ. Comm. Trust, Keppel Corp, SGX Group</w:t>
            </w:r>
          </w:p>
        </w:tc>
        <w:tc>
          <w:tcPr>
            <w:tcW w:type="dxa" w:w="4824"/>
          </w:tcPr>
          <w:p>
            <w:r>
              <w:rPr>
                <w:b w:val="0"/>
                <w:i w:val="0"/>
                <w:sz w:val="15"/>
              </w:rPr>
              <w:t>price went against the signals; the model has no clear view</w:t>
            </w:r>
          </w:p>
        </w:tc>
      </w:tr>
      <w:tr>
        <w:tc>
          <w:tcPr>
            <w:tcW w:type="dxa" w:w="1800"/>
            <w:shd w:val="clear" w:color="auto" w:fill="F7F7F5"/>
          </w:tcPr>
          <w:p>
            <w:r>
              <w:rPr>
                <w:b/>
                <w:i w:val="0"/>
                <w:sz w:val="15"/>
              </w:rPr>
              <w:t>Lag (3)</w:t>
            </w:r>
          </w:p>
        </w:tc>
        <w:tc>
          <w:tcPr>
            <w:tcW w:type="dxa" w:w="3312"/>
            <w:shd w:val="clear" w:color="auto" w:fill="F7F7F5"/>
          </w:tcPr>
          <w:p>
            <w:r>
              <w:rPr>
                <w:b w:val="0"/>
                <w:i w:val="0"/>
                <w:sz w:val="15"/>
              </w:rPr>
              <w:t>OCBC Bank, UOB, Mapletree Pan Asia Comm. Trust</w:t>
            </w:r>
          </w:p>
        </w:tc>
        <w:tc>
          <w:tcPr>
            <w:tcW w:type="dxa" w:w="4824"/>
            <w:shd w:val="clear" w:color="auto" w:fill="F7F7F5"/>
          </w:tcPr>
          <w:p>
            <w:r>
              <w:rPr>
                <w:b w:val="0"/>
                <w:i w:val="0"/>
                <w:sz w:val="15"/>
              </w:rPr>
              <w:t>price went against the signals; the model sides with the signals</w:t>
            </w:r>
          </w:p>
        </w:tc>
      </w:tr>
      <w:tr>
        <w:tc>
          <w:tcPr>
            <w:tcW w:type="dxa" w:w="1800"/>
          </w:tcPr>
          <w:p>
            <w:r>
              <w:rPr>
                <w:b/>
                <w:i w:val="0"/>
                <w:sz w:val="15"/>
              </w:rPr>
              <w:t>Dormant (2)</w:t>
            </w:r>
          </w:p>
        </w:tc>
        <w:tc>
          <w:tcPr>
            <w:tcW w:type="dxa" w:w="3312"/>
          </w:tcPr>
          <w:p>
            <w:r>
              <w:rPr>
                <w:b w:val="0"/>
                <w:i w:val="0"/>
                <w:sz w:val="15"/>
              </w:rPr>
              <w:t>Ascendas REIT, Raffles Medical Group</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Muted, fading (2)</w:t>
            </w:r>
          </w:p>
        </w:tc>
        <w:tc>
          <w:tcPr>
            <w:tcW w:type="dxa" w:w="3312"/>
            <w:shd w:val="clear" w:color="auto" w:fill="F7F7F5"/>
          </w:tcPr>
          <w:p>
            <w:r>
              <w:rPr>
                <w:b w:val="0"/>
                <w:i w:val="0"/>
                <w:sz w:val="15"/>
              </w:rPr>
              <w:t>Singtel, ST Engineering</w:t>
            </w:r>
          </w:p>
        </w:tc>
        <w:tc>
          <w:tcPr>
            <w:tcW w:type="dxa" w:w="4824"/>
            <w:shd w:val="clear" w:color="auto" w:fill="F7F7F5"/>
          </w:tcPr>
          <w:p>
            <w:r>
              <w:rPr>
                <w:b w:val="0"/>
                <w:i w:val="0"/>
                <w:sz w:val="15"/>
              </w:rPr>
              <w:t>signals leaned one way, price barely moved; the model expects the opposite</w:t>
            </w:r>
          </w:p>
        </w:tc>
      </w:tr>
      <w:tr>
        <w:tc>
          <w:tcPr>
            <w:tcW w:type="dxa" w:w="1800"/>
          </w:tcPr>
          <w:p>
            <w:r>
              <w:rPr>
                <w:b/>
                <w:i w:val="0"/>
                <w:sz w:val="15"/>
              </w:rPr>
              <w:t>Move complete (2)</w:t>
            </w:r>
          </w:p>
        </w:tc>
        <w:tc>
          <w:tcPr>
            <w:tcW w:type="dxa" w:w="3312"/>
          </w:tcPr>
          <w:p>
            <w:r>
              <w:rPr>
                <w:b w:val="0"/>
                <w:i w:val="0"/>
                <w:sz w:val="15"/>
              </w:rPr>
              <w:t>Wilmar Intl, ComfortDelGro</w:t>
            </w:r>
          </w:p>
        </w:tc>
        <w:tc>
          <w:tcPr>
            <w:tcW w:type="dxa" w:w="4824"/>
          </w:tcPr>
          <w:p>
            <w:r>
              <w:rPr>
                <w:b w:val="0"/>
                <w:i w:val="0"/>
                <w:sz w:val="15"/>
              </w:rPr>
              <w:t>the signals played out today; nothing further expected</w:t>
            </w:r>
          </w:p>
        </w:tc>
      </w:tr>
      <w:tr>
        <w:tc>
          <w:tcPr>
            <w:tcW w:type="dxa" w:w="1800"/>
            <w:shd w:val="clear" w:color="auto" w:fill="F7F7F5"/>
          </w:tcPr>
          <w:p>
            <w:r>
              <w:rPr>
                <w:b/>
                <w:i w:val="0"/>
                <w:sz w:val="15"/>
              </w:rPr>
              <w:t>Quiet (1)</w:t>
            </w:r>
          </w:p>
        </w:tc>
        <w:tc>
          <w:tcPr>
            <w:tcW w:type="dxa" w:w="3312"/>
            <w:shd w:val="clear" w:color="auto" w:fill="F7F7F5"/>
          </w:tcPr>
          <w:p>
            <w:r>
              <w:rPr>
                <w:b w:val="0"/>
                <w:i w:val="0"/>
                <w:sz w:val="15"/>
              </w:rPr>
              <w:t>Mapletree Industrial</w:t>
            </w:r>
          </w:p>
        </w:tc>
        <w:tc>
          <w:tcPr>
            <w:tcW w:type="dxa" w:w="4824"/>
            <w:shd w:val="clear" w:color="auto" w:fill="F7F7F5"/>
          </w:tcPr>
          <w:p>
            <w:r>
              <w:rPr>
                <w:b w:val="0"/>
                <w:i w:val="0"/>
                <w:sz w:val="15"/>
              </w:rPr>
              <w:t>no directional signal today</w:t>
            </w:r>
          </w:p>
        </w:tc>
      </w:tr>
      <w:tr>
        <w:tc>
          <w:tcPr>
            <w:tcW w:type="dxa" w:w="1800"/>
          </w:tcPr>
          <w:p>
            <w:r>
              <w:rPr>
                <w:b/>
                <w:i w:val="0"/>
                <w:sz w:val="15"/>
              </w:rPr>
              <w:t>Mean reversion (1)</w:t>
            </w:r>
          </w:p>
        </w:tc>
        <w:tc>
          <w:tcPr>
            <w:tcW w:type="dxa" w:w="3312"/>
          </w:tcPr>
          <w:p>
            <w:r>
              <w:rPr>
                <w:b w:val="0"/>
                <w:i w:val="0"/>
                <w:sz w:val="15"/>
              </w:rPr>
              <w:t>Sembcorp Industries</w:t>
            </w:r>
          </w:p>
        </w:tc>
        <w:tc>
          <w:tcPr>
            <w:tcW w:type="dxa" w:w="4824"/>
          </w:tcPr>
          <w:p>
            <w:r>
              <w:rPr>
                <w:b w:val="0"/>
                <w:i w:val="0"/>
                <w:sz w:val="15"/>
              </w:rPr>
              <w:t>news and price agreed, but the model expects a pullback</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7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Only 0 live calls had matured by this date.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Only 0 live calls had matured by this date, too few to compare.</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18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