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Wednesday 19 August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13–19 Aug</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val="0"/>
          <w:i w:val="0"/>
          <w:sz w:val="19"/>
        </w:rPr>
        <w:t>Today the fifteen stocks moved -0.5% on average (2 up, 8 down); over 13–19 Aug they moved -0.1%. Weakest: Consumer Goods (-4.6%), REIT (-1.7%) and Healthcare (-1.1%); strongest: Industrials (+3.8%) and Telecommunications (+3.3%).</w:t>
      </w:r>
    </w:p>
    <w:p>
      <w:pPr>
        <w:pStyle w:val="ListBullet"/>
        <w:spacing w:after="40"/>
      </w:pPr>
      <w:r>
        <w:rPr>
          <w:b w:val="0"/>
          <w:i w:val="0"/>
          <w:sz w:val="19"/>
        </w:rPr>
        <w:t>Biggest movers over 13–19 Aug: ST Engineering (+6.4%), Wilmar Intl (-6.3%) and Sembcorp Industries (+5.6%). ST Engineering moved more than the market without a company news story. For Sembcorp Industries, the company news and the price disagree. For Wilmar Intl, the company news and the price point the same way. See section 2.</w:t>
      </w:r>
    </w:p>
    <w:p>
      <w:pPr>
        <w:pStyle w:val="ListBullet"/>
        <w:spacing w:after="40"/>
      </w:pPr>
      <w:r>
        <w:rPr>
          <w:b w:val="0"/>
          <w:i w:val="0"/>
          <w:sz w:val="19"/>
        </w:rPr>
        <w:t>The market backdrop is normal (VIX 15.8), but Singapore ETF options lean defensive (put/call 1.56): more traders are buying protection against a fall.</w:t>
      </w:r>
    </w:p>
    <w:p>
      <w:pPr>
        <w:pStyle w:val="ListBullet"/>
        <w:spacing w:after="40"/>
      </w:pPr>
      <w:r>
        <w:rPr>
          <w:b w:val="0"/>
          <w:i w:val="0"/>
          <w:sz w:val="19"/>
        </w:rPr>
        <w:t>Today's news added a positive signal for DBS Group (not yet in the price), OCBC Bank (not yet in the price) and SGX Group (not yet in the price). See section 2.</w:t>
      </w:r>
    </w:p>
    <w:p>
      <w:pPr>
        <w:pStyle w:val="ListBullet"/>
        <w:spacing w:after="40"/>
      </w:pPr>
      <w:r>
        <w:rPr>
          <w:b w:val="0"/>
          <w:i w:val="0"/>
          <w:sz w:val="19"/>
        </w:rPr>
        <w:t>The forecast model leans towards a rise for UOB and Mapletree Pan Asia Comm. Trust; a fall for six stocks and no big move for the rest (only eight stocks with a ✓ record); normal three-day swings run from ±0.6% (Mapletree Industrial) to ±3.5% (ST Engineering), so a bigger move than a stock's own swing would be unusual. See section 3.</w:t>
      </w:r>
    </w:p>
    <w:p>
      <w:pPr>
        <w:pStyle w:val="ListBullet"/>
        <w:spacing w:after="40"/>
      </w:pPr>
      <w:r>
        <w:rPr>
          <w:b w:val="0"/>
          <w:i w:val="0"/>
          <w:sz w:val="19"/>
        </w:rPr>
        <w:t>No stock is flagged ⚑ today. The moves in ST Engineering came without company news, so sector or market news is the place to check before reacting. If you prefer less day-to-day movement, Mapletree Industrial, Raffles Medical Group, Ascendas REIT, CapitaLand Integ. Comm. Trust and Keppel Corp have the highest chance of no big move.</w:t>
      </w:r>
    </w:p>
    <w:p>
      <w:pPr>
        <w:spacing w:after="40"/>
      </w:pPr>
      <w:r>
        <w:rPr>
          <w:b w:val="0"/>
          <w:i w:val="0"/>
          <w:color w:val="52514E"/>
          <w:sz w:val="14"/>
        </w:rPr>
        <w:t>Drafted by code from the day's data and analysis; the AI writer (openai/gpt-oss-20b, the same model that writes the news summaries) reworded 2 of 6 lines; every number was filled in by code and the text passed the report's checks.</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Singapore ETF options lean negative;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13–19 Aug</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DBS Group ★</w:t>
            </w:r>
          </w:p>
        </w:tc>
        <w:tc>
          <w:tcPr>
            <w:tcW w:type="dxa" w:w="662"/>
          </w:tcPr>
          <w:p>
            <w:pPr>
              <w:jc w:val="right"/>
            </w:pPr>
            <w:r>
              <w:rPr>
                <w:b w:val="0"/>
                <w:i w:val="0"/>
                <w:color w:val="1C5CAB"/>
                <w:sz w:val="15"/>
              </w:rPr>
              <w:t>+0.4%</w:t>
            </w:r>
          </w:p>
        </w:tc>
        <w:tc>
          <w:tcPr>
            <w:tcW w:type="dxa" w:w="792"/>
          </w:tcPr>
          <w:p>
            <w:pPr>
              <w:jc w:val="right"/>
            </w:pPr>
            <w:r>
              <w:rPr>
                <w:b w:val="0"/>
                <w:i w:val="0"/>
                <w:color w:val="1C5CAB"/>
                <w:sz w:val="15"/>
              </w:rPr>
              <w:t>+1.3%</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Not yet in the price</w:t>
            </w:r>
          </w:p>
        </w:tc>
      </w:tr>
      <w:tr>
        <w:tc>
          <w:tcPr>
            <w:tcW w:type="dxa" w:w="360"/>
            <w:shd w:val="clear" w:color="auto" w:fill="F7F7F5"/>
          </w:tcPr>
          <w:p>
            <w:r>
              <w:rPr>
                <w:b w:val="0"/>
                <w:i w:val="0"/>
                <w:sz w:val="15"/>
              </w:rPr>
              <w:t>2</w:t>
            </w:r>
          </w:p>
        </w:tc>
        <w:tc>
          <w:tcPr>
            <w:tcW w:type="dxa" w:w="2189"/>
            <w:shd w:val="clear" w:color="auto" w:fill="F7F7F5"/>
          </w:tcPr>
          <w:p>
            <w:r>
              <w:rPr>
                <w:b w:val="0"/>
                <w:i w:val="0"/>
                <w:sz w:val="15"/>
              </w:rPr>
              <w:t>OCBC Bank ★</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1C5CAB"/>
                <w:sz w:val="15"/>
              </w:rPr>
              <w:t>+0.7%</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Not yet in the price</w:t>
            </w:r>
          </w:p>
        </w:tc>
      </w:tr>
      <w:tr>
        <w:tc>
          <w:tcPr>
            <w:tcW w:type="dxa" w:w="360"/>
          </w:tcPr>
          <w:p>
            <w:r>
              <w:rPr>
                <w:b w:val="0"/>
                <w:i w:val="0"/>
                <w:sz w:val="15"/>
              </w:rPr>
              <w:t>3</w:t>
            </w:r>
          </w:p>
        </w:tc>
        <w:tc>
          <w:tcPr>
            <w:tcW w:type="dxa" w:w="2189"/>
          </w:tcPr>
          <w:p>
            <w:r>
              <w:rPr>
                <w:b w:val="0"/>
                <w:i w:val="0"/>
                <w:sz w:val="15"/>
              </w:rPr>
              <w:t>SGX Group ★</w:t>
            </w:r>
          </w:p>
        </w:tc>
        <w:tc>
          <w:tcPr>
            <w:tcW w:type="dxa" w:w="662"/>
          </w:tcPr>
          <w:p>
            <w:pPr>
              <w:jc w:val="right"/>
            </w:pPr>
            <w:r>
              <w:rPr>
                <w:b w:val="0"/>
                <w:i w:val="0"/>
                <w:color w:val="1C5CAB"/>
                <w:sz w:val="15"/>
              </w:rPr>
              <w:t>+0.6%</w:t>
            </w:r>
          </w:p>
        </w:tc>
        <w:tc>
          <w:tcPr>
            <w:tcW w:type="dxa" w:w="792"/>
          </w:tcPr>
          <w:p>
            <w:pPr>
              <w:jc w:val="right"/>
            </w:pPr>
            <w:r>
              <w:rPr>
                <w:b w:val="0"/>
                <w:i w:val="0"/>
                <w:color w:val="1C5CAB"/>
                <w:sz w:val="15"/>
              </w:rPr>
              <w:t>+0.8%</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Not yet in the price</w:t>
            </w:r>
          </w:p>
        </w:tc>
      </w:tr>
      <w:tr>
        <w:tc>
          <w:tcPr>
            <w:tcW w:type="dxa" w:w="360"/>
            <w:shd w:val="clear" w:color="auto" w:fill="F7F7F5"/>
          </w:tcPr>
          <w:p>
            <w:r>
              <w:rPr>
                <w:b w:val="0"/>
                <w:i w:val="0"/>
                <w:sz w:val="15"/>
              </w:rPr>
              <w:t>4</w:t>
            </w:r>
          </w:p>
        </w:tc>
        <w:tc>
          <w:tcPr>
            <w:tcW w:type="dxa" w:w="2189"/>
            <w:shd w:val="clear" w:color="auto" w:fill="F7F7F5"/>
          </w:tcPr>
          <w:p>
            <w:r>
              <w:rPr>
                <w:b w:val="0"/>
                <w:i w:val="0"/>
                <w:sz w:val="15"/>
              </w:rPr>
              <w:t>Ascendas REIT ★</w:t>
            </w:r>
          </w:p>
        </w:tc>
        <w:tc>
          <w:tcPr>
            <w:tcW w:type="dxa" w:w="662"/>
            <w:shd w:val="clear" w:color="auto" w:fill="F7F7F5"/>
          </w:tcPr>
          <w:p>
            <w:pPr>
              <w:jc w:val="right"/>
            </w:pPr>
            <w:r>
              <w:rPr>
                <w:b w:val="0"/>
                <w:i w:val="0"/>
                <w:color w:val="A12D2C"/>
                <w:sz w:val="15"/>
              </w:rPr>
              <w:t>-0.4%</w:t>
            </w:r>
          </w:p>
        </w:tc>
        <w:tc>
          <w:tcPr>
            <w:tcW w:type="dxa" w:w="792"/>
            <w:shd w:val="clear" w:color="auto" w:fill="F7F7F5"/>
          </w:tcPr>
          <w:p>
            <w:pPr>
              <w:jc w:val="right"/>
            </w:pPr>
            <w:r>
              <w:rPr>
                <w:b w:val="0"/>
                <w:i w:val="0"/>
                <w:color w:val="A12D2C"/>
                <w:sz w:val="15"/>
              </w:rPr>
              <w:t>-1.3%</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positive (22)</w:t>
            </w:r>
          </w:p>
        </w:tc>
        <w:tc>
          <w:tcPr>
            <w:tcW w:type="dxa" w:w="1872"/>
            <w:shd w:val="clear" w:color="auto" w:fill="F7F7F5"/>
          </w:tcPr>
          <w:p>
            <w:r>
              <w:rPr>
                <w:b w:val="0"/>
                <w:i w:val="0"/>
                <w:sz w:val="15"/>
              </w:rPr>
              <w:t>—</w:t>
            </w:r>
          </w:p>
        </w:tc>
        <w:tc>
          <w:tcPr>
            <w:tcW w:type="dxa" w:w="1642"/>
            <w:shd w:val="clear" w:color="auto" w:fill="F7F7F5"/>
          </w:tcPr>
          <w:p>
            <w:r>
              <w:rPr>
                <w:b w:val="0"/>
                <w:i w:val="0"/>
                <w:sz w:val="15"/>
              </w:rPr>
              <w:t>No signal, little move</w:t>
            </w:r>
          </w:p>
        </w:tc>
      </w:tr>
      <w:tr>
        <w:tc>
          <w:tcPr>
            <w:tcW w:type="dxa" w:w="360"/>
          </w:tcPr>
          <w:p>
            <w:r>
              <w:rPr>
                <w:b w:val="0"/>
                <w:i w:val="0"/>
                <w:sz w:val="15"/>
              </w:rPr>
              <w:t>5</w:t>
            </w:r>
          </w:p>
        </w:tc>
        <w:tc>
          <w:tcPr>
            <w:tcW w:type="dxa" w:w="2189"/>
          </w:tcPr>
          <w:p>
            <w:r>
              <w:rPr>
                <w:b w:val="0"/>
                <w:i w:val="0"/>
                <w:sz w:val="15"/>
              </w:rPr>
              <w:t>CapitaLand Integ. Comm. Trust ★</w:t>
            </w:r>
          </w:p>
        </w:tc>
        <w:tc>
          <w:tcPr>
            <w:tcW w:type="dxa" w:w="662"/>
          </w:tcPr>
          <w:p>
            <w:pPr>
              <w:jc w:val="right"/>
            </w:pPr>
            <w:r>
              <w:rPr>
                <w:b w:val="0"/>
                <w:i w:val="0"/>
                <w:color w:val="52514E"/>
                <w:sz w:val="15"/>
              </w:rPr>
              <w:t>+0.0%</w:t>
            </w:r>
          </w:p>
        </w:tc>
        <w:tc>
          <w:tcPr>
            <w:tcW w:type="dxa" w:w="792"/>
          </w:tcPr>
          <w:p>
            <w:pPr>
              <w:jc w:val="right"/>
            </w:pPr>
            <w:r>
              <w:rPr>
                <w:b w:val="0"/>
                <w:i w:val="0"/>
                <w:color w:val="A12D2C"/>
                <w:sz w:val="15"/>
              </w:rPr>
              <w:t>-4.0%</w:t>
            </w:r>
          </w:p>
        </w:tc>
        <w:tc>
          <w:tcPr>
            <w:tcW w:type="dxa" w:w="1037"/>
            <w:shd w:val="clear" w:color="auto" w:fill="EFEEEA"/>
          </w:tcPr>
          <w:p>
            <w:r>
              <w:rPr>
                <w:b/>
                <w:i w:val="0"/>
                <w:color w:val="52514E"/>
                <w:sz w:val="15"/>
              </w:rPr>
              <w:t>Neutral</w:t>
            </w:r>
          </w:p>
        </w:tc>
        <w:tc>
          <w:tcPr>
            <w:tcW w:type="dxa" w:w="1382"/>
          </w:tcPr>
          <w:p>
            <w:r>
              <w:rPr>
                <w:b w:val="0"/>
                <w:i w:val="0"/>
                <w:sz w:val="15"/>
              </w:rPr>
              <w:t>Mostly positive (28)</w:t>
            </w:r>
          </w:p>
        </w:tc>
        <w:tc>
          <w:tcPr>
            <w:tcW w:type="dxa" w:w="1872"/>
          </w:tcPr>
          <w:p>
            <w:r>
              <w:rPr>
                <w:b w:val="0"/>
                <w:i w:val="0"/>
                <w:sz w:val="15"/>
              </w:rPr>
              <w:t>Below range · Above avg price</w:t>
            </w:r>
          </w:p>
        </w:tc>
        <w:tc>
          <w:tcPr>
            <w:tcW w:type="dxa" w:w="1642"/>
          </w:tcPr>
          <w:p>
            <w:r>
              <w:rPr>
                <w:b w:val="0"/>
                <w:i w:val="0"/>
                <w:sz w:val="15"/>
              </w:rPr>
              <w:t>No signal, little move</w:t>
            </w:r>
          </w:p>
        </w:tc>
      </w:tr>
      <w:tr>
        <w:tc>
          <w:tcPr>
            <w:tcW w:type="dxa" w:w="360"/>
            <w:shd w:val="clear" w:color="auto" w:fill="F7F7F5"/>
          </w:tcPr>
          <w:p>
            <w:r>
              <w:rPr>
                <w:b w:val="0"/>
                <w:i w:val="0"/>
                <w:sz w:val="15"/>
              </w:rPr>
              <w:t>6</w:t>
            </w:r>
          </w:p>
        </w:tc>
        <w:tc>
          <w:tcPr>
            <w:tcW w:type="dxa" w:w="2189"/>
            <w:shd w:val="clear" w:color="auto" w:fill="F7F7F5"/>
          </w:tcPr>
          <w:p>
            <w:r>
              <w:rPr>
                <w:b w:val="0"/>
                <w:i w:val="0"/>
                <w:sz w:val="15"/>
              </w:rPr>
              <w:t>ComfortDelGro ★</w:t>
            </w:r>
          </w:p>
        </w:tc>
        <w:tc>
          <w:tcPr>
            <w:tcW w:type="dxa" w:w="662"/>
            <w:shd w:val="clear" w:color="auto" w:fill="F7F7F5"/>
          </w:tcPr>
          <w:p>
            <w:pPr>
              <w:jc w:val="right"/>
            </w:pPr>
            <w:r>
              <w:rPr>
                <w:b w:val="0"/>
                <w:i w:val="0"/>
                <w:color w:val="A12D2C"/>
                <w:sz w:val="15"/>
              </w:rPr>
              <w:t>-2.9%</w:t>
            </w:r>
          </w:p>
        </w:tc>
        <w:tc>
          <w:tcPr>
            <w:tcW w:type="dxa" w:w="792"/>
            <w:shd w:val="clear" w:color="auto" w:fill="F7F7F5"/>
          </w:tcPr>
          <w:p>
            <w:pPr>
              <w:jc w:val="right"/>
            </w:pPr>
            <w:r>
              <w:rPr>
                <w:b w:val="0"/>
                <w:i w:val="0"/>
                <w:color w:val="A12D2C"/>
                <w:sz w:val="15"/>
              </w:rPr>
              <w:t>-2.9%</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positive (38)</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Moved without a signal</w:t>
            </w:r>
          </w:p>
        </w:tc>
      </w:tr>
      <w:tr>
        <w:tc>
          <w:tcPr>
            <w:tcW w:type="dxa" w:w="360"/>
          </w:tcPr>
          <w:p>
            <w:r>
              <w:rPr>
                <w:b w:val="0"/>
                <w:i w:val="0"/>
                <w:sz w:val="15"/>
              </w:rPr>
              <w:t>7</w:t>
            </w:r>
          </w:p>
        </w:tc>
        <w:tc>
          <w:tcPr>
            <w:tcW w:type="dxa" w:w="2189"/>
          </w:tcPr>
          <w:p>
            <w:r>
              <w:rPr>
                <w:b w:val="0"/>
                <w:i w:val="0"/>
                <w:sz w:val="15"/>
              </w:rPr>
              <w:t>Raffles Medical Group ★</w:t>
            </w:r>
          </w:p>
        </w:tc>
        <w:tc>
          <w:tcPr>
            <w:tcW w:type="dxa" w:w="662"/>
          </w:tcPr>
          <w:p>
            <w:pPr>
              <w:jc w:val="right"/>
            </w:pPr>
            <w:r>
              <w:rPr>
                <w:b w:val="0"/>
                <w:i w:val="0"/>
                <w:color w:val="52514E"/>
                <w:sz w:val="15"/>
              </w:rPr>
              <w:t>+0.0%</w:t>
            </w:r>
          </w:p>
        </w:tc>
        <w:tc>
          <w:tcPr>
            <w:tcW w:type="dxa" w:w="792"/>
          </w:tcPr>
          <w:p>
            <w:pPr>
              <w:jc w:val="right"/>
            </w:pPr>
            <w:r>
              <w:rPr>
                <w:b w:val="0"/>
                <w:i w:val="0"/>
                <w:color w:val="A12D2C"/>
                <w:sz w:val="15"/>
              </w:rPr>
              <w:t>-1.1%</w:t>
            </w:r>
          </w:p>
        </w:tc>
        <w:tc>
          <w:tcPr>
            <w:tcW w:type="dxa" w:w="1037"/>
            <w:shd w:val="clear" w:color="auto" w:fill="EFEEEA"/>
          </w:tcPr>
          <w:p>
            <w:r>
              <w:rPr>
                <w:b/>
                <w:i w:val="0"/>
                <w:color w:val="52514E"/>
                <w:sz w:val="15"/>
              </w:rPr>
              <w:t>Neutral</w:t>
            </w:r>
          </w:p>
        </w:tc>
        <w:tc>
          <w:tcPr>
            <w:tcW w:type="dxa" w:w="1382"/>
          </w:tcPr>
          <w:p>
            <w:r>
              <w:rPr>
                <w:b w:val="0"/>
                <w:i w:val="0"/>
                <w:sz w:val="15"/>
              </w:rPr>
              <w:t>Mostly positive (22)</w:t>
            </w:r>
          </w:p>
        </w:tc>
        <w:tc>
          <w:tcPr>
            <w:tcW w:type="dxa" w:w="1872"/>
          </w:tcPr>
          <w:p>
            <w:r>
              <w:rPr>
                <w:b w:val="0"/>
                <w:i w:val="0"/>
                <w:sz w:val="15"/>
              </w:rPr>
              <w:t>Weekly down</w:t>
            </w:r>
          </w:p>
        </w:tc>
        <w:tc>
          <w:tcPr>
            <w:tcW w:type="dxa" w:w="1642"/>
          </w:tcPr>
          <w:p>
            <w:r>
              <w:rPr>
                <w:b w:val="0"/>
                <w:i w:val="0"/>
                <w:sz w:val="15"/>
              </w:rPr>
              <w:t>No signal, little move</w:t>
            </w:r>
          </w:p>
        </w:tc>
      </w:tr>
      <w:tr>
        <w:tc>
          <w:tcPr>
            <w:tcW w:type="dxa" w:w="360"/>
            <w:shd w:val="clear" w:color="auto" w:fill="F7F7F5"/>
          </w:tcPr>
          <w:p>
            <w:r>
              <w:rPr>
                <w:b w:val="0"/>
                <w:i w:val="0"/>
                <w:sz w:val="15"/>
              </w:rPr>
              <w:t>8</w:t>
            </w:r>
          </w:p>
        </w:tc>
        <w:tc>
          <w:tcPr>
            <w:tcW w:type="dxa" w:w="2189"/>
            <w:shd w:val="clear" w:color="auto" w:fill="F7F7F5"/>
          </w:tcPr>
          <w:p>
            <w:r>
              <w:rPr>
                <w:b w:val="0"/>
                <w:i w:val="0"/>
                <w:sz w:val="15"/>
              </w:rPr>
              <w:t>UOB ★</w:t>
            </w:r>
          </w:p>
        </w:tc>
        <w:tc>
          <w:tcPr>
            <w:tcW w:type="dxa" w:w="662"/>
            <w:shd w:val="clear" w:color="auto" w:fill="F7F7F5"/>
          </w:tcPr>
          <w:p>
            <w:pPr>
              <w:jc w:val="right"/>
            </w:pPr>
            <w:r>
              <w:rPr>
                <w:b w:val="0"/>
                <w:i w:val="0"/>
                <w:color w:val="A12D2C"/>
                <w:sz w:val="15"/>
              </w:rPr>
              <w:t>-0.8%</w:t>
            </w:r>
          </w:p>
        </w:tc>
        <w:tc>
          <w:tcPr>
            <w:tcW w:type="dxa" w:w="792"/>
            <w:shd w:val="clear" w:color="auto" w:fill="F7F7F5"/>
          </w:tcPr>
          <w:p>
            <w:pPr>
              <w:jc w:val="right"/>
            </w:pPr>
            <w:r>
              <w:rPr>
                <w:b w:val="0"/>
                <w:i w:val="0"/>
                <w:color w:val="A12D2C"/>
                <w:sz w:val="15"/>
              </w:rPr>
              <w:t>-1.2%</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(50)</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Moved without a signal</w:t>
            </w:r>
          </w:p>
        </w:tc>
      </w:tr>
      <w:tr>
        <w:tc>
          <w:tcPr>
            <w:tcW w:type="dxa" w:w="360"/>
          </w:tcPr>
          <w:p>
            <w:r>
              <w:rPr>
                <w:b w:val="0"/>
                <w:i w:val="0"/>
                <w:sz w:val="15"/>
              </w:rPr>
              <w:t>9</w:t>
            </w:r>
          </w:p>
        </w:tc>
        <w:tc>
          <w:tcPr>
            <w:tcW w:type="dxa" w:w="2189"/>
          </w:tcPr>
          <w:p>
            <w:r>
              <w:rPr>
                <w:b w:val="0"/>
                <w:i w:val="0"/>
                <w:sz w:val="15"/>
              </w:rPr>
              <w:t>ST Engineering ★</w:t>
            </w:r>
          </w:p>
        </w:tc>
        <w:tc>
          <w:tcPr>
            <w:tcW w:type="dxa" w:w="662"/>
          </w:tcPr>
          <w:p>
            <w:pPr>
              <w:jc w:val="right"/>
            </w:pPr>
            <w:r>
              <w:rPr>
                <w:b w:val="0"/>
                <w:i w:val="0"/>
                <w:color w:val="A12D2C"/>
                <w:sz w:val="15"/>
              </w:rPr>
              <w:t>-1.9%</w:t>
            </w:r>
          </w:p>
        </w:tc>
        <w:tc>
          <w:tcPr>
            <w:tcW w:type="dxa" w:w="792"/>
          </w:tcPr>
          <w:p>
            <w:pPr>
              <w:jc w:val="right"/>
            </w:pPr>
            <w:r>
              <w:rPr>
                <w:b w:val="0"/>
                <w:i w:val="0"/>
                <w:color w:val="1C5CAB"/>
                <w:sz w:val="15"/>
              </w:rPr>
              <w:t>+6.4%</w:t>
            </w:r>
          </w:p>
        </w:tc>
        <w:tc>
          <w:tcPr>
            <w:tcW w:type="dxa" w:w="1037"/>
            <w:shd w:val="clear" w:color="auto" w:fill="EFEEEA"/>
          </w:tcPr>
          <w:p>
            <w:r>
              <w:rPr>
                <w:b/>
                <w:i w:val="0"/>
                <w:color w:val="52514E"/>
                <w:sz w:val="15"/>
              </w:rPr>
              <w:t>Neutral</w:t>
            </w:r>
          </w:p>
        </w:tc>
        <w:tc>
          <w:tcPr>
            <w:tcW w:type="dxa" w:w="1382"/>
          </w:tcPr>
          <w:p>
            <w:r>
              <w:rPr>
                <w:b w:val="0"/>
                <w:i w:val="0"/>
                <w:sz w:val="15"/>
              </w:rPr>
              <w:t>Mixed (46)</w:t>
            </w:r>
          </w:p>
        </w:tc>
        <w:tc>
          <w:tcPr>
            <w:tcW w:type="dxa" w:w="1872"/>
          </w:tcPr>
          <w:p>
            <w:r>
              <w:rPr>
                <w:b w:val="0"/>
                <w:i w:val="0"/>
                <w:sz w:val="15"/>
              </w:rPr>
              <w:t>Above avg price</w:t>
            </w:r>
          </w:p>
        </w:tc>
        <w:tc>
          <w:tcPr>
            <w:tcW w:type="dxa" w:w="1642"/>
          </w:tcPr>
          <w:p>
            <w:r>
              <w:rPr>
                <w:b w:val="0"/>
                <w:i w:val="0"/>
                <w:sz w:val="15"/>
              </w:rPr>
              <w:t>Moved without a signal</w:t>
            </w:r>
          </w:p>
        </w:tc>
      </w:tr>
      <w:tr>
        <w:tc>
          <w:tcPr>
            <w:tcW w:type="dxa" w:w="360"/>
            <w:shd w:val="clear" w:color="auto" w:fill="F7F7F5"/>
          </w:tcPr>
          <w:p>
            <w:r>
              <w:rPr>
                <w:b w:val="0"/>
                <w:i w:val="0"/>
                <w:sz w:val="15"/>
              </w:rPr>
              <w:t>10</w:t>
            </w:r>
          </w:p>
        </w:tc>
        <w:tc>
          <w:tcPr>
            <w:tcW w:type="dxa" w:w="2189"/>
            <w:shd w:val="clear" w:color="auto" w:fill="F7F7F5"/>
          </w:tcPr>
          <w:p>
            <w:r>
              <w:rPr>
                <w:b w:val="0"/>
                <w:i w:val="0"/>
                <w:sz w:val="15"/>
              </w:rPr>
              <w:t>Singtel ★</w:t>
            </w:r>
          </w:p>
        </w:tc>
        <w:tc>
          <w:tcPr>
            <w:tcW w:type="dxa" w:w="662"/>
            <w:shd w:val="clear" w:color="auto" w:fill="F7F7F5"/>
          </w:tcPr>
          <w:p>
            <w:pPr>
              <w:jc w:val="right"/>
            </w:pPr>
            <w:r>
              <w:rPr>
                <w:b w:val="0"/>
                <w:i w:val="0"/>
                <w:color w:val="52514E"/>
                <w:sz w:val="15"/>
              </w:rPr>
              <w:t>-0.2%</w:t>
            </w:r>
          </w:p>
        </w:tc>
        <w:tc>
          <w:tcPr>
            <w:tcW w:type="dxa" w:w="792"/>
            <w:shd w:val="clear" w:color="auto" w:fill="F7F7F5"/>
          </w:tcPr>
          <w:p>
            <w:pPr>
              <w:jc w:val="right"/>
            </w:pPr>
            <w:r>
              <w:rPr>
                <w:b w:val="0"/>
                <w:i w:val="0"/>
                <w:color w:val="1C5CAB"/>
                <w:sz w:val="15"/>
              </w:rPr>
              <w:t>+3.3%</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(50)</w:t>
            </w:r>
          </w:p>
        </w:tc>
        <w:tc>
          <w:tcPr>
            <w:tcW w:type="dxa" w:w="1872"/>
            <w:shd w:val="clear" w:color="auto" w:fill="F7F7F5"/>
          </w:tcPr>
          <w:p>
            <w:r>
              <w:rPr>
                <w:b w:val="0"/>
                <w:i w:val="0"/>
                <w:sz w:val="15"/>
              </w:rPr>
              <w:t>—</w:t>
            </w:r>
          </w:p>
        </w:tc>
        <w:tc>
          <w:tcPr>
            <w:tcW w:type="dxa" w:w="1642"/>
            <w:shd w:val="clear" w:color="auto" w:fill="F7F7F5"/>
          </w:tcPr>
          <w:p>
            <w:r>
              <w:rPr>
                <w:b w:val="0"/>
                <w:i w:val="0"/>
                <w:sz w:val="15"/>
              </w:rPr>
              <w:t>No signal, little move</w:t>
            </w:r>
          </w:p>
        </w:tc>
      </w:tr>
      <w:tr>
        <w:tc>
          <w:tcPr>
            <w:tcW w:type="dxa" w:w="360"/>
          </w:tcPr>
          <w:p>
            <w:r>
              <w:rPr>
                <w:b w:val="0"/>
                <w:i w:val="0"/>
                <w:sz w:val="15"/>
              </w:rPr>
              <w:t>11</w:t>
            </w:r>
          </w:p>
        </w:tc>
        <w:tc>
          <w:tcPr>
            <w:tcW w:type="dxa" w:w="2189"/>
          </w:tcPr>
          <w:p>
            <w:r>
              <w:rPr>
                <w:b w:val="0"/>
                <w:i w:val="0"/>
                <w:sz w:val="15"/>
              </w:rPr>
              <w:t>Mapletree Pan Asia Comm. Trust ★</w:t>
            </w:r>
          </w:p>
        </w:tc>
        <w:tc>
          <w:tcPr>
            <w:tcW w:type="dxa" w:w="662"/>
          </w:tcPr>
          <w:p>
            <w:pPr>
              <w:jc w:val="right"/>
            </w:pPr>
            <w:r>
              <w:rPr>
                <w:b w:val="0"/>
                <w:i w:val="0"/>
                <w:color w:val="52514E"/>
                <w:sz w:val="15"/>
              </w:rPr>
              <w:t>+0.0%</w:t>
            </w:r>
          </w:p>
        </w:tc>
        <w:tc>
          <w:tcPr>
            <w:tcW w:type="dxa" w:w="792"/>
          </w:tcPr>
          <w:p>
            <w:pPr>
              <w:jc w:val="right"/>
            </w:pPr>
            <w:r>
              <w:rPr>
                <w:b w:val="0"/>
                <w:i w:val="0"/>
                <w:color w:val="A12D2C"/>
                <w:sz w:val="15"/>
              </w:rPr>
              <w:t>-1.6%</w:t>
            </w:r>
          </w:p>
        </w:tc>
        <w:tc>
          <w:tcPr>
            <w:tcW w:type="dxa" w:w="1037"/>
            <w:shd w:val="clear" w:color="auto" w:fill="EFEEEA"/>
          </w:tcPr>
          <w:p>
            <w:r>
              <w:rPr>
                <w:b/>
                <w:i w:val="0"/>
                <w:color w:val="52514E"/>
                <w:sz w:val="15"/>
              </w:rPr>
              <w:t>Neutral</w:t>
            </w:r>
          </w:p>
        </w:tc>
        <w:tc>
          <w:tcPr>
            <w:tcW w:type="dxa" w:w="1382"/>
          </w:tcPr>
          <w:p>
            <w:r>
              <w:rPr>
                <w:b w:val="0"/>
                <w:i w:val="0"/>
                <w:sz w:val="15"/>
              </w:rPr>
              <w:t>Mixed (21)</w:t>
            </w:r>
          </w:p>
        </w:tc>
        <w:tc>
          <w:tcPr>
            <w:tcW w:type="dxa" w:w="1872"/>
          </w:tcPr>
          <w:p>
            <w:r>
              <w:rPr>
                <w:b w:val="0"/>
                <w:i w:val="0"/>
                <w:sz w:val="15"/>
              </w:rPr>
              <w:t>—</w:t>
            </w:r>
          </w:p>
        </w:tc>
        <w:tc>
          <w:tcPr>
            <w:tcW w:type="dxa" w:w="1642"/>
          </w:tcPr>
          <w:p>
            <w:r>
              <w:rPr>
                <w:b w:val="0"/>
                <w:i w:val="0"/>
                <w:sz w:val="15"/>
              </w:rPr>
              <w:t>No signal, little move</w:t>
            </w:r>
          </w:p>
        </w:tc>
      </w:tr>
      <w:tr>
        <w:tc>
          <w:tcPr>
            <w:tcW w:type="dxa" w:w="360"/>
            <w:shd w:val="clear" w:color="auto" w:fill="F7F7F5"/>
          </w:tcPr>
          <w:p>
            <w:r>
              <w:rPr>
                <w:b w:val="0"/>
                <w:i w:val="0"/>
                <w:sz w:val="15"/>
              </w:rPr>
              <w:t>12</w:t>
            </w:r>
          </w:p>
        </w:tc>
        <w:tc>
          <w:tcPr>
            <w:tcW w:type="dxa" w:w="2189"/>
            <w:shd w:val="clear" w:color="auto" w:fill="F7F7F5"/>
          </w:tcPr>
          <w:p>
            <w:r>
              <w:rPr>
                <w:b w:val="0"/>
                <w:i w:val="0"/>
                <w:sz w:val="15"/>
              </w:rPr>
              <w:t>Keppel Corp ★</w:t>
            </w:r>
          </w:p>
        </w:tc>
        <w:tc>
          <w:tcPr>
            <w:tcW w:type="dxa" w:w="662"/>
            <w:shd w:val="clear" w:color="auto" w:fill="F7F7F5"/>
          </w:tcPr>
          <w:p>
            <w:pPr>
              <w:jc w:val="right"/>
            </w:pPr>
            <w:r>
              <w:rPr>
                <w:b w:val="0"/>
                <w:i w:val="0"/>
                <w:color w:val="A12D2C"/>
                <w:sz w:val="15"/>
              </w:rPr>
              <w:t>-0.8%</w:t>
            </w:r>
          </w:p>
        </w:tc>
        <w:tc>
          <w:tcPr>
            <w:tcW w:type="dxa" w:w="792"/>
            <w:shd w:val="clear" w:color="auto" w:fill="F7F7F5"/>
          </w:tcPr>
          <w:p>
            <w:pPr>
              <w:jc w:val="right"/>
            </w:pPr>
            <w:r>
              <w:rPr>
                <w:b w:val="0"/>
                <w:i w:val="0"/>
                <w:color w:val="A12D2C"/>
                <w:sz w:val="15"/>
              </w:rPr>
              <w:t>-0.5%</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(29)</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Moved without a signal</w:t>
            </w:r>
          </w:p>
        </w:tc>
      </w:tr>
      <w:tr>
        <w:tc>
          <w:tcPr>
            <w:tcW w:type="dxa" w:w="360"/>
          </w:tcPr>
          <w:p>
            <w:r>
              <w:rPr>
                <w:b w:val="0"/>
                <w:i w:val="0"/>
                <w:sz w:val="15"/>
              </w:rPr>
              <w:t>13</w:t>
            </w:r>
          </w:p>
        </w:tc>
        <w:tc>
          <w:tcPr>
            <w:tcW w:type="dxa" w:w="2189"/>
          </w:tcPr>
          <w:p>
            <w:r>
              <w:rPr>
                <w:b w:val="0"/>
                <w:i w:val="0"/>
                <w:sz w:val="15"/>
              </w:rPr>
              <w:t>Sembcorp Industries ★</w:t>
            </w:r>
          </w:p>
        </w:tc>
        <w:tc>
          <w:tcPr>
            <w:tcW w:type="dxa" w:w="662"/>
          </w:tcPr>
          <w:p>
            <w:pPr>
              <w:jc w:val="right"/>
            </w:pPr>
            <w:r>
              <w:rPr>
                <w:b w:val="0"/>
                <w:i w:val="0"/>
                <w:color w:val="A12D2C"/>
                <w:sz w:val="15"/>
              </w:rPr>
              <w:t>-0.7%</w:t>
            </w:r>
          </w:p>
        </w:tc>
        <w:tc>
          <w:tcPr>
            <w:tcW w:type="dxa" w:w="792"/>
          </w:tcPr>
          <w:p>
            <w:pPr>
              <w:jc w:val="right"/>
            </w:pPr>
            <w:r>
              <w:rPr>
                <w:b w:val="0"/>
                <w:i w:val="0"/>
                <w:color w:val="1C5CAB"/>
                <w:sz w:val="15"/>
              </w:rPr>
              <w:t>+5.6%</w:t>
            </w:r>
          </w:p>
        </w:tc>
        <w:tc>
          <w:tcPr>
            <w:tcW w:type="dxa" w:w="1037"/>
            <w:shd w:val="clear" w:color="auto" w:fill="EFEEEA"/>
          </w:tcPr>
          <w:p>
            <w:r>
              <w:rPr>
                <w:b/>
                <w:i w:val="0"/>
                <w:color w:val="52514E"/>
                <w:sz w:val="15"/>
              </w:rPr>
              <w:t>Neutral</w:t>
            </w:r>
          </w:p>
        </w:tc>
        <w:tc>
          <w:tcPr>
            <w:tcW w:type="dxa" w:w="1382"/>
          </w:tcPr>
          <w:p>
            <w:r>
              <w:rPr>
                <w:b w:val="0"/>
                <w:i w:val="0"/>
                <w:sz w:val="15"/>
              </w:rPr>
              <w:t>Mostly negative (27)</w:t>
            </w:r>
          </w:p>
        </w:tc>
        <w:tc>
          <w:tcPr>
            <w:tcW w:type="dxa" w:w="1872"/>
          </w:tcPr>
          <w:p>
            <w:r>
              <w:rPr>
                <w:b w:val="0"/>
                <w:i w:val="0"/>
                <w:sz w:val="15"/>
              </w:rPr>
              <w:t>Above avg price</w:t>
            </w:r>
          </w:p>
        </w:tc>
        <w:tc>
          <w:tcPr>
            <w:tcW w:type="dxa" w:w="1642"/>
          </w:tcPr>
          <w:p>
            <w:r>
              <w:rPr>
                <w:b w:val="0"/>
                <w:i w:val="0"/>
                <w:sz w:val="15"/>
              </w:rPr>
              <w:t>Moved without a signal</w:t>
            </w:r>
          </w:p>
        </w:tc>
      </w:tr>
      <w:tr>
        <w:tc>
          <w:tcPr>
            <w:tcW w:type="dxa" w:w="360"/>
            <w:shd w:val="clear" w:color="auto" w:fill="F7F7F5"/>
          </w:tcPr>
          <w:p>
            <w:r>
              <w:rPr>
                <w:b w:val="0"/>
                <w:i w:val="0"/>
                <w:sz w:val="15"/>
              </w:rPr>
              <w:t>14</w:t>
            </w:r>
          </w:p>
        </w:tc>
        <w:tc>
          <w:tcPr>
            <w:tcW w:type="dxa" w:w="2189"/>
            <w:shd w:val="clear" w:color="auto" w:fill="F7F7F5"/>
          </w:tcPr>
          <w:p>
            <w:r>
              <w:rPr>
                <w:b w:val="0"/>
                <w:i w:val="0"/>
                <w:sz w:val="15"/>
              </w:rPr>
              <w:t>Wilmar Intl ★</w:t>
            </w:r>
          </w:p>
        </w:tc>
        <w:tc>
          <w:tcPr>
            <w:tcW w:type="dxa" w:w="662"/>
            <w:shd w:val="clear" w:color="auto" w:fill="F7F7F5"/>
          </w:tcPr>
          <w:p>
            <w:pPr>
              <w:jc w:val="right"/>
            </w:pPr>
            <w:r>
              <w:rPr>
                <w:b w:val="0"/>
                <w:i w:val="0"/>
                <w:color w:val="52514E"/>
                <w:sz w:val="15"/>
              </w:rPr>
              <w:t>-0.3%</w:t>
            </w:r>
          </w:p>
        </w:tc>
        <w:tc>
          <w:tcPr>
            <w:tcW w:type="dxa" w:w="792"/>
            <w:shd w:val="clear" w:color="auto" w:fill="F7F7F5"/>
          </w:tcPr>
          <w:p>
            <w:pPr>
              <w:jc w:val="right"/>
            </w:pPr>
            <w:r>
              <w:rPr>
                <w:b w:val="0"/>
                <w:i w:val="0"/>
                <w:color w:val="A12D2C"/>
                <w:sz w:val="15"/>
              </w:rPr>
              <w:t>-6.3%</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negative (23)</w:t>
            </w:r>
          </w:p>
        </w:tc>
        <w:tc>
          <w:tcPr>
            <w:tcW w:type="dxa" w:w="1872"/>
            <w:shd w:val="clear" w:color="auto" w:fill="F7F7F5"/>
          </w:tcPr>
          <w:p>
            <w:r>
              <w:rPr>
                <w:b w:val="0"/>
                <w:i w:val="0"/>
                <w:sz w:val="15"/>
              </w:rPr>
              <w:t>—</w:t>
            </w:r>
          </w:p>
        </w:tc>
        <w:tc>
          <w:tcPr>
            <w:tcW w:type="dxa" w:w="1642"/>
            <w:shd w:val="clear" w:color="auto" w:fill="F7F7F5"/>
          </w:tcPr>
          <w:p>
            <w:r>
              <w:rPr>
                <w:b w:val="0"/>
                <w:i w:val="0"/>
                <w:sz w:val="15"/>
              </w:rPr>
              <w:t>No signal, little move</w:t>
            </w:r>
          </w:p>
        </w:tc>
      </w:tr>
      <w:tr>
        <w:tc>
          <w:tcPr>
            <w:tcW w:type="dxa" w:w="360"/>
          </w:tcPr>
          <w:p>
            <w:r>
              <w:rPr>
                <w:b w:val="0"/>
                <w:i w:val="0"/>
                <w:sz w:val="15"/>
              </w:rPr>
              <w:t>15</w:t>
            </w:r>
          </w:p>
        </w:tc>
        <w:tc>
          <w:tcPr>
            <w:tcW w:type="dxa" w:w="2189"/>
          </w:tcPr>
          <w:p>
            <w:r>
              <w:rPr>
                <w:b w:val="0"/>
                <w:i w:val="0"/>
                <w:sz w:val="15"/>
              </w:rPr>
              <w:t>Mapletree Industrial ★</w:t>
            </w:r>
          </w:p>
        </w:tc>
        <w:tc>
          <w:tcPr>
            <w:tcW w:type="dxa" w:w="662"/>
          </w:tcPr>
          <w:p>
            <w:pPr>
              <w:jc w:val="right"/>
            </w:pPr>
            <w:r>
              <w:rPr>
                <w:b w:val="0"/>
                <w:i w:val="0"/>
                <w:color w:val="52514E"/>
                <w:sz w:val="15"/>
              </w:rPr>
              <w:t>+0.0%</w:t>
            </w:r>
          </w:p>
        </w:tc>
        <w:tc>
          <w:tcPr>
            <w:tcW w:type="dxa" w:w="792"/>
          </w:tcPr>
          <w:p>
            <w:pPr>
              <w:jc w:val="right"/>
            </w:pPr>
            <w:r>
              <w:rPr>
                <w:b w:val="0"/>
                <w:i w:val="0"/>
                <w:color w:val="52514E"/>
                <w:sz w:val="15"/>
              </w:rPr>
              <w:t>+0.0%</w:t>
            </w:r>
          </w:p>
        </w:tc>
        <w:tc>
          <w:tcPr>
            <w:tcW w:type="dxa" w:w="1037"/>
            <w:shd w:val="clear" w:color="auto" w:fill="EFEEEA"/>
          </w:tcPr>
          <w:p>
            <w:r>
              <w:rPr>
                <w:b/>
                <w:i w:val="0"/>
                <w:color w:val="52514E"/>
                <w:sz w:val="15"/>
              </w:rPr>
              <w:t>Neutral</w:t>
            </w:r>
          </w:p>
        </w:tc>
        <w:tc>
          <w:tcPr>
            <w:tcW w:type="dxa" w:w="1382"/>
          </w:tcPr>
          <w:p>
            <w:r>
              <w:rPr>
                <w:b w:val="0"/>
                <w:i w:val="0"/>
                <w:sz w:val="15"/>
              </w:rPr>
              <w:t>Mostly negative (24)</w:t>
            </w:r>
          </w:p>
        </w:tc>
        <w:tc>
          <w:tcPr>
            <w:tcW w:type="dxa" w:w="1872"/>
          </w:tcPr>
          <w:p>
            <w:r>
              <w:rPr>
                <w:b w:val="0"/>
                <w:i w:val="0"/>
                <w:sz w:val="15"/>
              </w:rPr>
              <w:t>—</w:t>
            </w:r>
          </w:p>
        </w:tc>
        <w:tc>
          <w:tcPr>
            <w:tcW w:type="dxa" w:w="1642"/>
          </w:tcPr>
          <w:p>
            <w:r>
              <w:rPr>
                <w:b w:val="0"/>
                <w:i w:val="0"/>
                <w:sz w:val="15"/>
              </w:rPr>
              <w:t>No signal, little move</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(none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13–19 Aug.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8-19.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 then the biggest movers.</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DBS Group</w:t>
            </w:r>
            <w:r>
              <w:rPr>
                <w:b w:val="0"/>
                <w:i w:val="0"/>
                <w:color w:val="52514E"/>
                <w:sz w:val="17"/>
              </w:rPr>
              <w:t xml:space="preserve">   Banking  ·  +1.3% over 13–19 Aug</w:t>
            </w:r>
          </w:p>
          <w:p>
            <w:pPr>
              <w:spacing w:after="10" w:line="240" w:lineRule="auto"/>
            </w:pPr>
            <w:r>
              <w:rPr>
                <w:b/>
                <w:i w:val="0"/>
                <w:color w:val="1A2E55"/>
                <w:sz w:val="16"/>
              </w:rPr>
              <w:t xml:space="preserve">In short (AI-written, checked)  </w:t>
            </w:r>
            <w:r>
              <w:rPr>
                <w:b w:val="0"/>
                <w:i w:val="0"/>
                <w:sz w:val="16"/>
              </w:rPr>
              <w:t>DBS Group rose over 13–19 Aug by +1.3%. The news-and-signals reading is positive and today’s news is mostly positive, but it has not yet moved the price. The forecast model expects a fall, though its record is weak.</w:t>
            </w:r>
          </w:p>
          <w:p>
            <w:pPr>
              <w:spacing w:after="10" w:line="240" w:lineRule="auto"/>
            </w:pPr>
            <w:r>
              <w:rPr>
                <w:b/>
                <w:i w:val="0"/>
                <w:color w:val="1A2E55"/>
                <w:sz w:val="16"/>
              </w:rPr>
              <w:t xml:space="preserve">What happened  </w:t>
            </w:r>
            <w:r>
              <w:rPr>
                <w:b w:val="0"/>
                <w:i w:val="0"/>
                <w:sz w:val="16"/>
              </w:rPr>
              <w:t>Rose 1.3% over 13–19 Aug, including +1.8% on Mon 17 Aug. Today +0.4%.</w:t>
            </w:r>
          </w:p>
          <w:p>
            <w:pPr>
              <w:spacing w:after="10" w:line="240" w:lineRule="auto"/>
            </w:pPr>
            <w:r>
              <w:rPr>
                <w:b/>
                <w:i w:val="0"/>
                <w:color w:val="1A2E55"/>
                <w:sz w:val="16"/>
              </w:rPr>
              <w:t xml:space="preserve">Today: news vs price  </w:t>
            </w:r>
            <w:r>
              <w:rPr>
                <w:b w:val="0"/>
                <w:i w:val="0"/>
                <w:sz w:val="16"/>
              </w:rPr>
              <w:t>Positive reading, but the price rose 0.4%, within a normal day's ±0.6%: the news has not shown up in the price. The forecast model expects the opposite. (Pattern: Muted, fading.)</w:t>
            </w:r>
          </w:p>
          <w:p>
            <w:pPr>
              <w:spacing w:after="10" w:line="240" w:lineRule="auto"/>
            </w:pPr>
            <w:r>
              <w:rPr>
                <w:b/>
                <w:i w:val="0"/>
                <w:color w:val="1A2E55"/>
                <w:sz w:val="16"/>
              </w:rPr>
              <w:t xml:space="preserve">Last 5 days in context  </w:t>
            </w:r>
            <w:r>
              <w:rPr>
                <w:b w:val="0"/>
                <w:i w:val="0"/>
                <w:sz w:val="16"/>
              </w:rPr>
              <w:t>Company news collected today was mostly positive; the price rose 1.3% over 13–19 Aug, its 2 sector peers -0.3% on average, and the 15 stocks -0.1% on average. So the company news and the price point the same way.</w:t>
            </w:r>
          </w:p>
          <w:p>
            <w:pPr>
              <w:spacing w:after="10" w:line="240" w:lineRule="auto"/>
            </w:pPr>
            <w:r>
              <w:rPr>
                <w:b/>
                <w:i w:val="0"/>
                <w:color w:val="1A2E55"/>
                <w:sz w:val="16"/>
              </w:rPr>
              <w:t xml:space="preserve">News today  </w:t>
            </w:r>
            <w:r>
              <w:rPr>
                <w:b w:val="0"/>
                <w:i w:val="0"/>
                <w:sz w:val="16"/>
              </w:rPr>
              <w:t>50 articles collected today: 30 positive, 5 negative, 15 neutral (mostly positive). Event tags: dividend, earnings, upgrade.</w:t>
            </w:r>
          </w:p>
          <w:p>
            <w:pPr>
              <w:spacing w:after="10" w:line="240" w:lineRule="auto"/>
            </w:pPr>
            <w:r>
              <w:rPr>
                <w:b/>
                <w:i w:val="0"/>
                <w:color w:val="1A2E55"/>
                <w:sz w:val="16"/>
              </w:rPr>
              <w:t xml:space="preserve">Headlines  </w:t>
            </w:r>
            <w:r>
              <w:rPr>
                <w:b w:val="0"/>
                <w:i w:val="0"/>
                <w:sz w:val="16"/>
              </w:rPr>
              <w:t>+ “DBS vs OCBC vs UOB: Which Bank Delivered the Best Results and Dividend?” (The Smart Investor, 10 Aug)</w:t>
            </w:r>
          </w:p>
          <w:p>
            <w:pPr>
              <w:spacing w:after="10" w:line="240" w:lineRule="auto"/>
            </w:pPr>
            <w:r>
              <w:rPr>
                <w:b/>
                <w:i w:val="0"/>
                <w:color w:val="1A2E55"/>
                <w:sz w:val="16"/>
              </w:rPr>
              <w:t xml:space="preserve">Price chart  </w:t>
            </w:r>
            <w:r>
              <w:rPr>
                <w:b w:val="0"/>
                <w:i w:val="0"/>
                <w:sz w:val="16"/>
              </w:rPr>
              <w:t>RSI 64,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+0.46; positive above +0.35, negative below −0.35), and on all 2 earlier recorded days. It needs all of 'Earnings/dividend headlines', the positive news and the weekly trend: without any one it would be neutral. Also, the system's internal checks found the signals strongly mixed.</w:t>
            </w:r>
          </w:p>
          <w:p>
            <w:pPr>
              <w:spacing w:after="10" w:line="240" w:lineRule="auto"/>
            </w:pPr>
            <w:r>
              <w:rPr>
                <w:b/>
                <w:i w:val="0"/>
                <w:color w:val="1A2E55"/>
                <w:sz w:val="16"/>
              </w:rPr>
              <w:t xml:space="preserve">Rules behind the reading  </w:t>
            </w:r>
            <w:r>
              <w:rPr>
                <w:b w:val="0"/>
                <w:i w:val="0"/>
                <w:sz w:val="16"/>
              </w:rPr>
              <w:t>Up: earnings/dividend headlines +0.20, positive company news +0.18, weekly trend up +0.15, above average price +0.02. Market-wide: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DBS Group remains positive on the back of a positive geopolitical backdrop, highlighted by the headline 'Odds of Federal Reserve rate hike surge as oil prices rip higher', and strong corporate events such as the bank breaking the S$50 share price barrier and hitting S$60 in recent weeks. Positive company news sentiment and a weekly trend confirmation further reinforce the positive stance, with the ML-model value for weekly trend (+0.252) underscoring momentum. However, elevated political news volume, options market negative positioning, and a negative political news tone introduce risk, as reflected in the negative ML predictions and the ML-model contributions for political news. Despite these contradictions, the rule‑based analysis deems the positive case decisive, and the overall confidence remains high.</w:t>
            </w:r>
          </w:p>
          <w:p>
            <w:pPr>
              <w:spacing w:after="10" w:line="240" w:lineRule="auto"/>
            </w:pPr>
            <w:r>
              <w:rPr>
                <w:b/>
                <w:i w:val="0"/>
                <w:color w:val="1A2E55"/>
                <w:sz w:val="16"/>
              </w:rPr>
              <w:t xml:space="preserve">Forecast lean  </w:t>
            </w:r>
            <w:r>
              <w:rPr>
                <w:b w:val="0"/>
                <w:i w:val="0"/>
                <w:sz w:val="16"/>
              </w:rPr>
              <w:t>Fall over the next 3 trading days (chance 69%); its normal 3-day swing is ±2.0%. Past record on this stock: about as good as a simple rule or better (✓), still only a weak signal.</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SGX Group</w:t>
            </w:r>
            <w:r>
              <w:rPr>
                <w:b w:val="0"/>
                <w:i w:val="0"/>
                <w:color w:val="52514E"/>
                <w:sz w:val="17"/>
              </w:rPr>
              <w:t xml:space="preserve">   Financial Services  ·  +0.8% over 13–19 Aug</w:t>
            </w:r>
          </w:p>
          <w:p>
            <w:pPr>
              <w:spacing w:after="10" w:line="240" w:lineRule="auto"/>
            </w:pPr>
            <w:r>
              <w:rPr>
                <w:b/>
                <w:i w:val="0"/>
                <w:color w:val="1A2E55"/>
                <w:sz w:val="16"/>
              </w:rPr>
              <w:t xml:space="preserve">In short (AI-written, checked)  </w:t>
            </w:r>
            <w:r>
              <w:rPr>
                <w:b w:val="0"/>
                <w:i w:val="0"/>
                <w:sz w:val="16"/>
              </w:rPr>
              <w:t>SGX Group rose over 13–19 Aug by +0.8%. The news-and-signals reading is positive and today’s news is mostly positive, yet it has not yet moved the price. The forecast model expects a fall, though its record is weak.</w:t>
            </w:r>
          </w:p>
          <w:p>
            <w:pPr>
              <w:spacing w:after="10" w:line="240" w:lineRule="auto"/>
            </w:pPr>
            <w:r>
              <w:rPr>
                <w:b/>
                <w:i w:val="0"/>
                <w:color w:val="1A2E55"/>
                <w:sz w:val="16"/>
              </w:rPr>
              <w:t xml:space="preserve">What happened  </w:t>
            </w:r>
            <w:r>
              <w:rPr>
                <w:b w:val="0"/>
                <w:i w:val="0"/>
                <w:sz w:val="16"/>
              </w:rPr>
              <w:t>Rose 0.8% over 13–19 Aug; its biggest day was Tue 18 Aug (-1.9%). Today +0.6%.</w:t>
            </w:r>
          </w:p>
          <w:p>
            <w:pPr>
              <w:spacing w:after="10" w:line="240" w:lineRule="auto"/>
            </w:pPr>
            <w:r>
              <w:rPr>
                <w:b/>
                <w:i w:val="0"/>
                <w:color w:val="1A2E55"/>
                <w:sz w:val="16"/>
              </w:rPr>
              <w:t xml:space="preserve">Today: news vs price  </w:t>
            </w:r>
            <w:r>
              <w:rPr>
                <w:b w:val="0"/>
                <w:i w:val="0"/>
                <w:sz w:val="16"/>
              </w:rPr>
              <w:t>Positive reading, but the price rose 0.6%, within a normal day's ±0.6%: the news has not shown up in the price. The forecast model expects the opposite. (Pattern: Muted, fading.)</w:t>
            </w:r>
          </w:p>
          <w:p>
            <w:pPr>
              <w:spacing w:after="10" w:line="240" w:lineRule="auto"/>
            </w:pPr>
            <w:r>
              <w:rPr>
                <w:b/>
                <w:i w:val="0"/>
                <w:color w:val="1A2E55"/>
                <w:sz w:val="16"/>
              </w:rPr>
              <w:t xml:space="preserve">Last 5 days in context  </w:t>
            </w:r>
            <w:r>
              <w:rPr>
                <w:b w:val="0"/>
                <w:i w:val="0"/>
                <w:sz w:val="16"/>
              </w:rPr>
              <w:t>Company news collected today was mostly positive; the price rose 0.8% over 13–19 Aug, against -0.1% for the 15 stocks on average. So it barely moved over the period.</w:t>
            </w:r>
          </w:p>
          <w:p>
            <w:pPr>
              <w:spacing w:after="10" w:line="240" w:lineRule="auto"/>
            </w:pPr>
            <w:r>
              <w:rPr>
                <w:b/>
                <w:i w:val="0"/>
                <w:color w:val="1A2E55"/>
                <w:sz w:val="16"/>
              </w:rPr>
              <w:t xml:space="preserve">News today  </w:t>
            </w:r>
            <w:r>
              <w:rPr>
                <w:b w:val="0"/>
                <w:i w:val="0"/>
                <w:sz w:val="16"/>
              </w:rPr>
              <w:t>50 articles collected today: 26 positive, 6 negative, 18 neutral (mostly positive). Event tags: dividend, earnings, merger or acquisition.</w:t>
            </w:r>
          </w:p>
          <w:p>
            <w:pPr>
              <w:spacing w:after="10" w:line="240" w:lineRule="auto"/>
            </w:pPr>
            <w:r>
              <w:rPr>
                <w:b/>
                <w:i w:val="0"/>
                <w:color w:val="1A2E55"/>
                <w:sz w:val="16"/>
              </w:rPr>
              <w:t xml:space="preserve">Headlines  </w:t>
            </w:r>
            <w:r>
              <w:rPr>
                <w:b w:val="0"/>
                <w:i w:val="0"/>
                <w:sz w:val="16"/>
              </w:rPr>
              <w:t>+ “SGX has IPO pipeline of around 50 companies in various stages of readiness amid record results” (The Business Times, 06 Aug)   − “SGX’s record year masks Singapore’s equities challenge” (The Business Times, 12 Aug)</w:t>
            </w:r>
          </w:p>
          <w:p>
            <w:pPr>
              <w:spacing w:after="10" w:line="240" w:lineRule="auto"/>
            </w:pPr>
            <w:r>
              <w:rPr>
                <w:b/>
                <w:i w:val="0"/>
                <w:color w:val="1A2E55"/>
                <w:sz w:val="16"/>
              </w:rPr>
              <w:t xml:space="preserve">Price chart  </w:t>
            </w:r>
            <w:r>
              <w:rPr>
                <w:b w:val="0"/>
                <w:i w:val="0"/>
                <w:sz w:val="16"/>
              </w:rPr>
              <w:t>RSI 62,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+0.46; positive above +0.35, negative below −0.35), and on all 2 earlier recorded days. It needs all of 'Earnings/dividend headlines', the positive news and the weekly trend: without any one it would be neutral. Also, the system's internal checks found the signals strongly mixed.</w:t>
            </w:r>
          </w:p>
          <w:p>
            <w:pPr>
              <w:spacing w:after="10" w:line="240" w:lineRule="auto"/>
            </w:pPr>
            <w:r>
              <w:rPr>
                <w:b/>
                <w:i w:val="0"/>
                <w:color w:val="1A2E55"/>
                <w:sz w:val="16"/>
              </w:rPr>
              <w:t xml:space="preserve">Rules behind the reading  </w:t>
            </w:r>
            <w:r>
              <w:rPr>
                <w:b w:val="0"/>
                <w:i w:val="0"/>
                <w:sz w:val="16"/>
              </w:rPr>
              <w:t>Up: earnings/dividend headlines +0.20, positive company news +0.18, weekly trend up +0.15, above average price +0.02. Market-wide: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SGX remains positive on the back of a supportive geopolitical backdrop, strong corporate events, and a surge in positive news sentiment, as evidenced by record trading volumes in April and May and the growing IPO pipeline. Weekly trend confirmation and positive news share further reinforce this outlook, aligning with the rule‑based positive baseline. However, elevated political news volume and negative options positioning introduce downside risk, while ML-model‑derived signals such as negative political tone, RSI momentum, and negative news share suggest caution. Despite these contradictions, the overall sentiment stays positive, tempered by the identified risk factors.</w:t>
            </w:r>
          </w:p>
          <w:p>
            <w:pPr>
              <w:spacing w:after="10" w:line="240" w:lineRule="auto"/>
            </w:pPr>
            <w:r>
              <w:rPr>
                <w:b/>
                <w:i w:val="0"/>
                <w:color w:val="1A2E55"/>
                <w:sz w:val="16"/>
              </w:rPr>
              <w:t xml:space="preserve">Forecast lean  </w:t>
            </w:r>
            <w:r>
              <w:rPr>
                <w:b w:val="0"/>
                <w:i w:val="0"/>
                <w:sz w:val="16"/>
              </w:rPr>
              <w:t>Fall over the next 3 trading days (chance 93%); its normal 3-day swing is ±1.8%. Past record on this stock: about as good as a simple rule or better (✓), still only a weak signal.</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UOB</w:t>
            </w:r>
            <w:r>
              <w:rPr>
                <w:b w:val="0"/>
                <w:i w:val="0"/>
                <w:color w:val="52514E"/>
                <w:sz w:val="17"/>
              </w:rPr>
              <w:t xml:space="preserve">   Banking  ·  -1.2% over 13–19 Aug</w:t>
            </w:r>
          </w:p>
          <w:p>
            <w:pPr>
              <w:spacing w:after="10" w:line="240" w:lineRule="auto"/>
            </w:pPr>
            <w:r>
              <w:rPr>
                <w:b/>
                <w:i w:val="0"/>
                <w:color w:val="1A2E55"/>
                <w:sz w:val="16"/>
              </w:rPr>
              <w:t xml:space="preserve">In short (AI-written, checked)  </w:t>
            </w:r>
            <w:r>
              <w:rPr>
                <w:b w:val="0"/>
                <w:i w:val="0"/>
                <w:sz w:val="16"/>
              </w:rPr>
              <w:t>UOB fell over 13–19 Aug by -1.2%. The news-and-signals reading is neutral and there is no company news today, so the move is not explained by news. The forecast model expects a rise, though its record is weak.</w:t>
            </w:r>
          </w:p>
          <w:p>
            <w:pPr>
              <w:spacing w:after="10" w:line="240" w:lineRule="auto"/>
            </w:pPr>
            <w:r>
              <w:rPr>
                <w:b/>
                <w:i w:val="0"/>
                <w:color w:val="1A2E55"/>
                <w:sz w:val="16"/>
              </w:rPr>
              <w:t xml:space="preserve">What happened  </w:t>
            </w:r>
            <w:r>
              <w:rPr>
                <w:b w:val="0"/>
                <w:i w:val="0"/>
                <w:sz w:val="16"/>
              </w:rPr>
              <w:t>Fell 1.2% over 13–19 Aug; its biggest day was Wed 19 Aug (-0.8%). Today -0.8%.</w:t>
            </w:r>
          </w:p>
          <w:p>
            <w:pPr>
              <w:spacing w:after="10" w:line="240" w:lineRule="auto"/>
            </w:pPr>
            <w:r>
              <w:rPr>
                <w:b/>
                <w:i w:val="0"/>
                <w:color w:val="1A2E55"/>
                <w:sz w:val="16"/>
              </w:rPr>
              <w:t xml:space="preserve">Today: news vs price  </w:t>
            </w:r>
            <w:r>
              <w:rPr>
                <w:b w:val="0"/>
                <w:i w:val="0"/>
                <w:sz w:val="16"/>
              </w:rPr>
              <w:t>No news signal today (neutral reading); the price fell 0.8%, more than a normal day's ±0.6%: a move without a news signal. The forecast model still leans 'rise'. (Pattern: Model-only view.)</w:t>
            </w:r>
          </w:p>
          <w:p>
            <w:pPr>
              <w:spacing w:after="10" w:line="240" w:lineRule="auto"/>
            </w:pPr>
            <w:r>
              <w:rPr>
                <w:b/>
                <w:i w:val="0"/>
                <w:color w:val="1A2E55"/>
                <w:sz w:val="16"/>
              </w:rPr>
              <w:t xml:space="preserve">Last 5 days in context  </w:t>
            </w:r>
            <w:r>
              <w:rPr>
                <w:b w:val="0"/>
                <w:i w:val="0"/>
                <w:sz w:val="16"/>
              </w:rPr>
              <w:t>Company news collected today was mixed; the price fell 1.2% over 13–19 Aug, its 2 sector peers +1.0% on average, and the 15 stocks -0.1% on average. So there is no company story in the news, and the stock moved more than the market; sector or wider news, outside this report's sources, is the place to look.</w:t>
            </w:r>
          </w:p>
          <w:p>
            <w:pPr>
              <w:spacing w:after="10" w:line="240" w:lineRule="auto"/>
            </w:pPr>
            <w:r>
              <w:rPr>
                <w:b/>
                <w:i w:val="0"/>
                <w:color w:val="1A2E55"/>
                <w:sz w:val="16"/>
              </w:rPr>
              <w:t xml:space="preserve">News today  </w:t>
            </w:r>
            <w:r>
              <w:rPr>
                <w:b w:val="0"/>
                <w:i w:val="0"/>
                <w:sz w:val="16"/>
              </w:rPr>
              <w:t>50 articles collected today: 17 positive, 18 negative, 15 neutral (mixed). Event tags: dividend, earnings, merger or acquisition, upgrade.</w:t>
            </w:r>
          </w:p>
          <w:p>
            <w:pPr>
              <w:spacing w:after="10" w:line="240" w:lineRule="auto"/>
            </w:pPr>
            <w:r>
              <w:rPr>
                <w:b/>
                <w:i w:val="0"/>
                <w:color w:val="1A2E55"/>
                <w:sz w:val="16"/>
              </w:rPr>
              <w:t xml:space="preserve">Headlines  </w:t>
            </w:r>
            <w:r>
              <w:rPr>
                <w:b w:val="0"/>
                <w:i w:val="0"/>
                <w:sz w:val="16"/>
              </w:rPr>
              <w:t>+ “DBS vs OCBC vs UOB: Which Bank Delivered the Best Results and Dividend?” (The Smart Investor, 10 Aug)   − “Stocks to watch: UOB, Singtel, UMS Integration, Koh Brothers Eco Engineering” (Business Times, 19 Aug)</w:t>
            </w:r>
          </w:p>
          <w:p>
            <w:pPr>
              <w:spacing w:after="10" w:line="240" w:lineRule="auto"/>
            </w:pPr>
            <w:r>
              <w:rPr>
                <w:b/>
                <w:i w:val="0"/>
                <w:color w:val="1A2E55"/>
                <w:sz w:val="16"/>
              </w:rPr>
              <w:t xml:space="preserve">Price chart  </w:t>
            </w:r>
            <w:r>
              <w:rPr>
                <w:b w:val="0"/>
                <w:i w:val="0"/>
                <w:sz w:val="16"/>
              </w:rPr>
              <w:t>RSI 41, between 30 and 70: no unusually fast move; price above its volume-weighted average.</w:t>
            </w:r>
          </w:p>
          <w:p>
            <w:pPr>
              <w:spacing w:after="10" w:line="240" w:lineRule="auto"/>
            </w:pPr>
            <w:r>
              <w:rPr>
                <w:b/>
                <w:i w:val="0"/>
                <w:color w:val="1A2E55"/>
                <w:sz w:val="16"/>
              </w:rPr>
              <w:t xml:space="preserve">News &amp; signals reading  </w:t>
            </w:r>
            <w:r>
              <w:rPr>
                <w:b w:val="0"/>
                <w:i w:val="0"/>
                <w:sz w:val="16"/>
              </w:rPr>
              <w:t>Neutral today (score +0.13; positive above +0.35, negative below −0.35), but on none of the 2 earlier recorded days. The rules for and against did not add up to a clear reading.</w:t>
            </w:r>
          </w:p>
          <w:p>
            <w:pPr>
              <w:spacing w:after="10" w:line="240" w:lineRule="auto"/>
            </w:pPr>
            <w:r>
              <w:rPr>
                <w:b/>
                <w:i w:val="0"/>
                <w:color w:val="1A2E55"/>
                <w:sz w:val="16"/>
              </w:rPr>
              <w:t xml:space="preserve">Rules behind the reading  </w:t>
            </w:r>
            <w:r>
              <w:rPr>
                <w:b w:val="0"/>
                <w:i w:val="0"/>
                <w:sz w:val="16"/>
              </w:rPr>
              <w:t>Up: earnings/dividend headlines +0.20, above average price +0.02. Market-wide: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UOB’s outlook remains neutral as rule‑based analysis balances a 25% positive geopolitical backdrop against a 24% elevated political news volume that is deemed decisive. Positive corporate events and RSI momentum provide modest upside, but negative signals from recent earnings slides, a 4% profit decline in Q1 FY2026, and a negative political news tone weigh on sentiment. The ML-model explanation confirms that political news tone and negative corporate events pull the model toward a neutral stance, while RSI momentum offers a slight positive lift. Though the linear LogReg model predicts a positive move, the RandomForest model remains neutral, underscoring the mild contradiction in the models’ signals.</w:t>
            </w:r>
          </w:p>
          <w:p>
            <w:pPr>
              <w:spacing w:after="10" w:line="240" w:lineRule="auto"/>
            </w:pPr>
            <w:r>
              <w:rPr>
                <w:b/>
                <w:i w:val="0"/>
                <w:color w:val="1A2E55"/>
                <w:sz w:val="16"/>
              </w:rPr>
              <w:t xml:space="preserve">Forecast lean  </w:t>
            </w:r>
            <w:r>
              <w:rPr>
                <w:b w:val="0"/>
                <w:i w:val="0"/>
                <w:sz w:val="16"/>
              </w:rPr>
              <w:t>Rise over the next 3 trading days (chance 94%); its normal 3-day swing is ±1.7%. Past record on this stock: about as good as a simple rule or better (✓), still only a weak signal.</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±0.6%</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&gt;99%</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Ascendas REIT</w:t>
            </w:r>
          </w:p>
        </w:tc>
        <w:tc>
          <w:tcPr>
            <w:tcW w:type="dxa" w:w="1368"/>
            <w:shd w:val="clear" w:color="auto" w:fill="F7F7F5"/>
          </w:tcPr>
          <w:p>
            <w:pPr>
              <w:keepNext/>
              <w:jc w:val="right"/>
            </w:pPr>
            <w:r>
              <w:rPr>
                <w:b w:val="0"/>
                <w:i w:val="0"/>
                <w:sz w:val="16"/>
              </w:rPr>
              <w:t>±1.6%</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&gt;99%</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UOB</w:t>
            </w:r>
          </w:p>
        </w:tc>
        <w:tc>
          <w:tcPr>
            <w:tcW w:type="dxa" w:w="1368"/>
          </w:tcPr>
          <w:p>
            <w:pPr>
              <w:keepNext/>
              <w:jc w:val="right"/>
            </w:pPr>
            <w:r>
              <w:rPr>
                <w:b w:val="0"/>
                <w:i w:val="0"/>
                <w:sz w:val="16"/>
              </w:rPr>
              <w:t>±1.7%</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94%</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CapitaLand Integ. Comm. Trust</w:t>
            </w:r>
          </w:p>
        </w:tc>
        <w:tc>
          <w:tcPr>
            <w:tcW w:type="dxa" w:w="1368"/>
            <w:shd w:val="clear" w:color="auto" w:fill="F7F7F5"/>
          </w:tcPr>
          <w:p>
            <w:pPr>
              <w:keepNext/>
              <w:jc w:val="right"/>
            </w:pPr>
            <w:r>
              <w:rPr>
                <w:b w:val="0"/>
                <w:i w:val="0"/>
                <w:sz w:val="16"/>
              </w:rPr>
              <w:t>±1.8%</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99%</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SGX Group</w:t>
            </w:r>
          </w:p>
        </w:tc>
        <w:tc>
          <w:tcPr>
            <w:tcW w:type="dxa" w:w="1368"/>
          </w:tcPr>
          <w:p>
            <w:pPr>
              <w:keepNext/>
              <w:jc w:val="right"/>
            </w:pPr>
            <w:r>
              <w:rPr>
                <w:b w:val="0"/>
                <w:i w:val="0"/>
                <w:sz w:val="16"/>
              </w:rPr>
              <w:t>±1.8%</w:t>
            </w:r>
          </w:p>
        </w:tc>
        <w:tc>
          <w:tcPr>
            <w:tcW w:type="dxa" w:w="1440"/>
          </w:tcPr>
          <w:p>
            <w:pPr>
              <w:keepNext/>
            </w:pPr>
            <w:r>
              <w:rPr>
                <w:b w:val="0"/>
                <w:i w:val="0"/>
                <w:sz w:val="16"/>
              </w:rPr>
            </w:r>
          </w:p>
        </w:tc>
        <w:tc>
          <w:tcPr>
            <w:tcW w:type="dxa" w:w="1440"/>
          </w:tcPr>
          <w:p>
            <w:pPr>
              <w:keepNext/>
            </w:pPr>
            <w:r>
              <w:rPr>
                <w:b w:val="0"/>
                <w:i w:val="0"/>
                <w:color w:val="A12D2C"/>
                <w:sz w:val="16"/>
              </w:rPr>
              <w:t>Fall</w:t>
            </w:r>
          </w:p>
        </w:tc>
        <w:tc>
          <w:tcPr>
            <w:tcW w:type="dxa" w:w="1008"/>
          </w:tcPr>
          <w:p>
            <w:pPr>
              <w:keepNext/>
              <w:jc w:val="right"/>
            </w:pPr>
            <w:r>
              <w:rPr>
                <w:b w:val="0"/>
                <w:i w:val="0"/>
                <w:sz w:val="16"/>
              </w:rPr>
              <w:t>93%</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Mapletree Pan Asia Comm. Trust</w:t>
            </w:r>
          </w:p>
        </w:tc>
        <w:tc>
          <w:tcPr>
            <w:tcW w:type="dxa" w:w="1368"/>
            <w:shd w:val="clear" w:color="auto" w:fill="F7F7F5"/>
          </w:tcPr>
          <w:p>
            <w:pPr>
              <w:keepNext/>
              <w:jc w:val="right"/>
            </w:pPr>
            <w:r>
              <w:rPr>
                <w:b w:val="0"/>
                <w:i w:val="0"/>
                <w:sz w:val="16"/>
              </w:rPr>
              <w:t>±1.9%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99%</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Raffles Medical Group</w:t>
            </w:r>
          </w:p>
        </w:tc>
        <w:tc>
          <w:tcPr>
            <w:tcW w:type="dxa" w:w="1368"/>
          </w:tcPr>
          <w:p>
            <w:pPr>
              <w:keepNext/>
              <w:jc w:val="right"/>
            </w:pPr>
            <w:r>
              <w:rPr>
                <w:b w:val="0"/>
                <w:i w:val="0"/>
                <w:sz w:val="16"/>
              </w:rPr>
              <w:t>±1.9%</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&gt;99%</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ComfortDelGro</w:t>
            </w:r>
          </w:p>
        </w:tc>
        <w:tc>
          <w:tcPr>
            <w:tcW w:type="dxa" w:w="1368"/>
            <w:shd w:val="clear" w:color="auto" w:fill="F7F7F5"/>
          </w:tcPr>
          <w:p>
            <w:pPr>
              <w:keepNext/>
              <w:jc w:val="right"/>
            </w:pPr>
            <w:r>
              <w:rPr>
                <w:b w:val="0"/>
                <w:i w:val="0"/>
                <w:sz w:val="16"/>
              </w:rPr>
              <w:t>±1.9%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51%</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DBS Group</w:t>
            </w:r>
          </w:p>
        </w:tc>
        <w:tc>
          <w:tcPr>
            <w:tcW w:type="dxa" w:w="1368"/>
          </w:tcPr>
          <w:p>
            <w:pPr>
              <w:keepNext/>
              <w:jc w:val="right"/>
            </w:pPr>
            <w:r>
              <w:rPr>
                <w:b w:val="0"/>
                <w:i w:val="0"/>
                <w:sz w:val="16"/>
              </w:rPr>
              <w:t>±2.0%</w:t>
            </w:r>
          </w:p>
        </w:tc>
        <w:tc>
          <w:tcPr>
            <w:tcW w:type="dxa" w:w="1440"/>
          </w:tcPr>
          <w:p>
            <w:pPr>
              <w:keepNext/>
            </w:pPr>
            <w:r>
              <w:rPr>
                <w:b w:val="0"/>
                <w:i w:val="0"/>
                <w:sz w:val="16"/>
              </w:rPr>
            </w:r>
          </w:p>
        </w:tc>
        <w:tc>
          <w:tcPr>
            <w:tcW w:type="dxa" w:w="1440"/>
          </w:tcPr>
          <w:p>
            <w:pPr>
              <w:keepNext/>
            </w:pPr>
            <w:r>
              <w:rPr>
                <w:b w:val="0"/>
                <w:i w:val="0"/>
                <w:color w:val="A12D2C"/>
                <w:sz w:val="16"/>
              </w:rPr>
              <w:t>Fall</w:t>
            </w:r>
          </w:p>
        </w:tc>
        <w:tc>
          <w:tcPr>
            <w:tcW w:type="dxa" w:w="1008"/>
          </w:tcPr>
          <w:p>
            <w:pPr>
              <w:keepNext/>
              <w:jc w:val="right"/>
            </w:pPr>
            <w:r>
              <w:rPr>
                <w:b w:val="0"/>
                <w:i w:val="0"/>
                <w:sz w:val="16"/>
              </w:rPr>
              <w:t>69%</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Singtel</w:t>
            </w:r>
          </w:p>
        </w:tc>
        <w:tc>
          <w:tcPr>
            <w:tcW w:type="dxa" w:w="1368"/>
            <w:shd w:val="clear" w:color="auto" w:fill="F7F7F5"/>
          </w:tcPr>
          <w:p>
            <w:pPr>
              <w:keepNext/>
              <w:jc w:val="right"/>
            </w:pPr>
            <w:r>
              <w:rPr>
                <w:b w:val="0"/>
                <w:i w:val="0"/>
                <w:sz w:val="16"/>
              </w:rPr>
              <w:t>±2.6%</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96%</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Wilmar Intl</w:t>
            </w:r>
          </w:p>
        </w:tc>
        <w:tc>
          <w:tcPr>
            <w:tcW w:type="dxa" w:w="1368"/>
          </w:tcPr>
          <w:p>
            <w:pPr>
              <w:keepNext/>
              <w:jc w:val="right"/>
            </w:pPr>
            <w:r>
              <w:rPr>
                <w:b w:val="0"/>
                <w:i w:val="0"/>
                <w:sz w:val="16"/>
              </w:rPr>
              <w:t>±2.9%</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85%</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Sembcorp Industries</w:t>
            </w:r>
          </w:p>
        </w:tc>
        <w:tc>
          <w:tcPr>
            <w:tcW w:type="dxa" w:w="1368"/>
            <w:shd w:val="clear" w:color="auto" w:fill="F7F7F5"/>
          </w:tcPr>
          <w:p>
            <w:pPr>
              <w:keepNext/>
              <w:jc w:val="right"/>
            </w:pPr>
            <w:r>
              <w:rPr>
                <w:b w:val="0"/>
                <w:i w:val="0"/>
                <w:sz w:val="16"/>
              </w:rPr>
              <w:t>±2.9%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72%</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OCBC Bank</w:t>
            </w:r>
          </w:p>
        </w:tc>
        <w:tc>
          <w:tcPr>
            <w:tcW w:type="dxa" w:w="1368"/>
          </w:tcPr>
          <w:p>
            <w:pPr>
              <w:keepNext/>
              <w:jc w:val="right"/>
            </w:pPr>
            <w:r>
              <w:rPr>
                <w:b w:val="0"/>
                <w:i w:val="0"/>
                <w:sz w:val="16"/>
              </w:rPr>
              <w:t>±2.9%</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93%</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Keppel Corp</w:t>
            </w:r>
          </w:p>
        </w:tc>
        <w:tc>
          <w:tcPr>
            <w:tcW w:type="dxa" w:w="1368"/>
            <w:shd w:val="clear" w:color="auto" w:fill="F7F7F5"/>
          </w:tcPr>
          <w:p>
            <w:pPr>
              <w:keepNext/>
              <w:jc w:val="right"/>
            </w:pPr>
            <w:r>
              <w:rPr>
                <w:b w:val="0"/>
                <w:i w:val="0"/>
                <w:sz w:val="16"/>
              </w:rPr>
              <w:t>±3.1%</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98%</w:t>
            </w:r>
          </w:p>
        </w:tc>
        <w:tc>
          <w:tcPr>
            <w:tcW w:type="dxa" w:w="2016"/>
            <w:shd w:val="clear" w:color="auto" w:fill="E4F3E4"/>
          </w:tcPr>
          <w:p>
            <w:pPr>
              <w:keepNext/>
            </w:pPr>
            <w:r>
              <w:rPr>
                <w:b/>
                <w:i w:val="0"/>
                <w:color w:val="0A6E0A"/>
                <w:sz w:val="16"/>
              </w:rPr>
              <w:t>too new</w:t>
            </w:r>
          </w:p>
        </w:tc>
      </w:tr>
      <w:tr>
        <w:tc>
          <w:tcPr>
            <w:tcW w:type="dxa" w:w="2664"/>
          </w:tcPr>
          <w:p>
            <w:r>
              <w:rPr>
                <w:b w:val="0"/>
                <w:i w:val="0"/>
                <w:sz w:val="16"/>
              </w:rPr>
              <w:t>ST Engineering</w:t>
            </w:r>
          </w:p>
        </w:tc>
        <w:tc>
          <w:tcPr>
            <w:tcW w:type="dxa" w:w="1368"/>
          </w:tcPr>
          <w:p>
            <w:pPr>
              <w:jc w:val="right"/>
            </w:pPr>
            <w:r>
              <w:rPr>
                <w:b w:val="0"/>
                <w:i w:val="0"/>
                <w:sz w:val="16"/>
              </w:rPr>
              <w:t>±3.5%</w:t>
            </w:r>
          </w:p>
        </w:tc>
        <w:tc>
          <w:tcPr>
            <w:tcW w:type="dxa" w:w="1440"/>
          </w:tcPr>
          <w:p>
            <w:r>
              <w:rPr>
                <w:b w:val="0"/>
                <w:i w:val="0"/>
                <w:sz w:val="16"/>
              </w:rPr>
            </w:r>
          </w:p>
        </w:tc>
        <w:tc>
          <w:tcPr>
            <w:tcW w:type="dxa" w:w="1440"/>
          </w:tcPr>
          <w:p>
            <w:r>
              <w:rPr>
                <w:b w:val="0"/>
                <w:i w:val="0"/>
                <w:color w:val="A12D2C"/>
                <w:sz w:val="16"/>
              </w:rPr>
              <w:t>Fall</w:t>
            </w:r>
          </w:p>
        </w:tc>
        <w:tc>
          <w:tcPr>
            <w:tcW w:type="dxa" w:w="1008"/>
          </w:tcPr>
          <w:p>
            <w:pPr>
              <w:jc w:val="right"/>
            </w:pPr>
            <w:r>
              <w:rPr>
                <w:b w:val="0"/>
                <w:i w:val="0"/>
                <w:sz w:val="16"/>
              </w:rPr>
              <w:t>79%</w:t>
            </w:r>
          </w:p>
        </w:tc>
        <w:tc>
          <w:tcPr>
            <w:tcW w:type="dxa" w:w="2016"/>
            <w:shd w:val="clear" w:color="auto" w:fill="E4F3E4"/>
          </w:tcPr>
          <w:p>
            <w:r>
              <w:rPr>
                <w:b/>
                <w:i w:val="0"/>
                <w:color w:val="0A6E0A"/>
                <w:sz w:val="16"/>
              </w:rPr>
              <w:t>too new</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Mapletree Industrial, Raffles Medical Group, Ascendas REIT, CapitaLand Integ. Comm. Trust and Keppel Corp: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Only 0 live forecasts had matured by this date, too few to quote a record; treat every call as unproven.</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530 company news articles (each read as positive, negative or neutral by FinBERT, a finance language model) and 72 political articles; price-chart indicators (RSI, MACD, Bollinger bands, VWAP, weekly trend); the market backdrop (VIX 15.8, US yield spread); Singapore ETF options positioning (put/call 1.56).</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Quiet (7)</w:t>
            </w:r>
          </w:p>
        </w:tc>
        <w:tc>
          <w:tcPr>
            <w:tcW w:type="dxa" w:w="3312"/>
          </w:tcPr>
          <w:p>
            <w:r>
              <w:rPr>
                <w:b w:val="0"/>
                <w:i w:val="0"/>
                <w:sz w:val="15"/>
              </w:rPr>
              <w:t>CapitaLand Integ. Comm. Trust, Ascendas REIT, Mapletree Industrial, Keppel Corp, Wilmar Intl, ComfortDelGro, Raffles Medical Group</w:t>
            </w:r>
          </w:p>
        </w:tc>
        <w:tc>
          <w:tcPr>
            <w:tcW w:type="dxa" w:w="4824"/>
          </w:tcPr>
          <w:p>
            <w:r>
              <w:rPr>
                <w:b w:val="0"/>
                <w:i w:val="0"/>
                <w:sz w:val="15"/>
              </w:rPr>
              <w:t>no directional signal today</w:t>
            </w:r>
          </w:p>
        </w:tc>
      </w:tr>
      <w:tr>
        <w:tc>
          <w:tcPr>
            <w:tcW w:type="dxa" w:w="1800"/>
            <w:shd w:val="clear" w:color="auto" w:fill="F7F7F5"/>
          </w:tcPr>
          <w:p>
            <w:r>
              <w:rPr>
                <w:b/>
                <w:i w:val="0"/>
                <w:sz w:val="15"/>
              </w:rPr>
              <w:t>Model-only view (5)</w:t>
            </w:r>
          </w:p>
        </w:tc>
        <w:tc>
          <w:tcPr>
            <w:tcW w:type="dxa" w:w="3312"/>
            <w:shd w:val="clear" w:color="auto" w:fill="F7F7F5"/>
          </w:tcPr>
          <w:p>
            <w:r>
              <w:rPr>
                <w:b w:val="0"/>
                <w:i w:val="0"/>
                <w:sz w:val="15"/>
              </w:rPr>
              <w:t>UOB, Mapletree Pan Asia Comm. Trust, Singtel, ST Engineering, Sembcorp Industries</w:t>
            </w:r>
          </w:p>
        </w:tc>
        <w:tc>
          <w:tcPr>
            <w:tcW w:type="dxa" w:w="4824"/>
            <w:shd w:val="clear" w:color="auto" w:fill="F7F7F5"/>
          </w:tcPr>
          <w:p>
            <w:r>
              <w:rPr>
                <w:b w:val="0"/>
                <w:i w:val="0"/>
                <w:sz w:val="15"/>
              </w:rPr>
              <w:t>signals flat, but the model has a view</w:t>
            </w:r>
          </w:p>
        </w:tc>
      </w:tr>
      <w:tr>
        <w:tc>
          <w:tcPr>
            <w:tcW w:type="dxa" w:w="1800"/>
          </w:tcPr>
          <w:p>
            <w:r>
              <w:rPr>
                <w:b/>
                <w:i w:val="0"/>
                <w:sz w:val="15"/>
              </w:rPr>
              <w:t>Muted, fading (2)</w:t>
            </w:r>
          </w:p>
        </w:tc>
        <w:tc>
          <w:tcPr>
            <w:tcW w:type="dxa" w:w="3312"/>
          </w:tcPr>
          <w:p>
            <w:r>
              <w:rPr>
                <w:b w:val="0"/>
                <w:i w:val="0"/>
                <w:sz w:val="15"/>
              </w:rPr>
              <w:t>DBS Group, SGX Group</w:t>
            </w:r>
          </w:p>
        </w:tc>
        <w:tc>
          <w:tcPr>
            <w:tcW w:type="dxa" w:w="4824"/>
          </w:tcPr>
          <w:p>
            <w:r>
              <w:rPr>
                <w:b w:val="0"/>
                <w:i w:val="0"/>
                <w:sz w:val="15"/>
              </w:rPr>
              <w:t>signals leaned one way, price barely moved; the model expects the opposite</w:t>
            </w:r>
          </w:p>
        </w:tc>
      </w:tr>
      <w:tr>
        <w:tc>
          <w:tcPr>
            <w:tcW w:type="dxa" w:w="1800"/>
            <w:shd w:val="clear" w:color="auto" w:fill="F7F7F5"/>
          </w:tcPr>
          <w:p>
            <w:r>
              <w:rPr>
                <w:b/>
                <w:i w:val="0"/>
                <w:sz w:val="15"/>
              </w:rPr>
              <w:t>Dormant (1)</w:t>
            </w:r>
          </w:p>
        </w:tc>
        <w:tc>
          <w:tcPr>
            <w:tcW w:type="dxa" w:w="3312"/>
            <w:shd w:val="clear" w:color="auto" w:fill="F7F7F5"/>
          </w:tcPr>
          <w:p>
            <w:r>
              <w:rPr>
                <w:b w:val="0"/>
                <w:i w:val="0"/>
                <w:sz w:val="15"/>
              </w:rPr>
              <w:t>OCBC Bank</w:t>
            </w:r>
          </w:p>
        </w:tc>
        <w:tc>
          <w:tcPr>
            <w:tcW w:type="dxa" w:w="4824"/>
            <w:shd w:val="clear" w:color="auto" w:fill="F7F7F5"/>
          </w:tcPr>
          <w:p>
            <w:r>
              <w:rPr>
                <w:b w:val="0"/>
                <w:i w:val="0"/>
                <w:sz w:val="15"/>
              </w:rPr>
              <w:t>a slight lean in the signals; neither price nor model followed</w:t>
            </w:r>
          </w:p>
        </w:tc>
      </w:tr>
    </w:tbl>
    <w:p>
      <w:pPr>
        <w:spacing w:after="40"/>
      </w:pPr>
      <w:r>
        <w:rPr>
          <w:b w:val="0"/>
          <w:i w:val="0"/>
          <w:color w:val="52514E"/>
          <w:sz w:val="15"/>
        </w:rPr>
        <w:t>The other patterns in the 11-pattern engine did not occur today; the full set is defined in the final report, Appendix C. The contradiction check rated 3 of 15 readings strongly mixed (named on the cards) and 10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Only 0 live calls had matured by this date.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Only 0 live calls had matured by this date, too few to compare.</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19 Aug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