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Thursday 20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14–20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-0.0% on average (7 up, 5 down); over 14–20 Aug they moved +0.8%. Weakest: Consumer Goods (-0.7%), Banking (-0.7%) and REIT (-0.6%); strongest: Industrials (+4.8%) and Telecommunications (+4.7%).</w:t>
      </w:r>
    </w:p>
    <w:p>
      <w:pPr>
        <w:pStyle w:val="ListBullet"/>
        <w:spacing w:after="40"/>
      </w:pPr>
      <w:r>
        <w:rPr>
          <w:b/>
          <w:i w:val="0"/>
          <w:color w:val="1A2E55"/>
          <w:sz w:val="19"/>
        </w:rPr>
        <w:t xml:space="preserve">Why. </w:t>
      </w:r>
      <w:r>
        <w:rPr>
          <w:b w:val="0"/>
          <w:i w:val="0"/>
          <w:sz w:val="19"/>
        </w:rPr>
        <w:t>Biggest movers over 14–20 Aug: Sembcorp Industries (+8.2%), ST Engineering (+4.7%) and Singtel (+4.7%). ST Engineering moved without a company news story; the move looks sector-wide. Singtel moved more than the market without a company news story. For Sembcorp Industries, the company news and the price disagree. See section 2.</w:t>
      </w:r>
    </w:p>
    <w:p>
      <w:pPr>
        <w:pStyle w:val="ListBullet"/>
        <w:spacing w:after="40"/>
      </w:pPr>
      <w:r>
        <w:rPr>
          <w:b/>
          <w:i w:val="0"/>
          <w:color w:val="1A2E55"/>
          <w:sz w:val="19"/>
        </w:rPr>
        <w:t xml:space="preserve">Backdrop. </w:t>
      </w:r>
      <w:r>
        <w:rPr>
          <w:b w:val="0"/>
          <w:i w:val="0"/>
          <w:sz w:val="19"/>
        </w:rPr>
        <w:t>The market backdrop is calm (VIX 14.9), and Singapore ETF options are neutral (put/call 0.76).</w:t>
      </w:r>
    </w:p>
    <w:p>
      <w:pPr>
        <w:pStyle w:val="ListBullet"/>
        <w:spacing w:after="40"/>
      </w:pPr>
      <w:r>
        <w:rPr>
          <w:b/>
          <w:i w:val="0"/>
          <w:color w:val="1A2E55"/>
          <w:sz w:val="19"/>
        </w:rPr>
        <w:t xml:space="preserve">New today. </w:t>
      </w:r>
      <w:r>
        <w:rPr>
          <w:b w:val="0"/>
          <w:i w:val="0"/>
          <w:sz w:val="19"/>
        </w:rPr>
        <w:t>Today's news added a positive signal for DBS Group (not yet in the price), SGX Group (the price went the other way), OCBC Bank (not yet in the price), CapitaLand Integ. Comm. Trust (not yet in the price) and nine more. See section 2.</w:t>
      </w:r>
    </w:p>
    <w:p>
      <w:pPr>
        <w:pStyle w:val="ListBullet"/>
        <w:spacing w:after="40"/>
      </w:pPr>
      <w:r>
        <w:rPr>
          <w:b/>
          <w:i w:val="0"/>
          <w:color w:val="1A2E55"/>
          <w:sz w:val="19"/>
        </w:rPr>
        <w:t xml:space="preserve">Next 3 days. </w:t>
      </w:r>
      <w:r>
        <w:rPr>
          <w:b w:val="0"/>
          <w:i w:val="0"/>
          <w:sz w:val="19"/>
        </w:rPr>
        <w:t>The forecast model leans towards a rise for four stocks; a fall for four stocks and no big move for the rest (only six stocks with a ✓ record); normal 3-day swings run from ±0.6% (Mapletree Industrial) to ±3.5% (ST Engineering), so a bigger move than a stock's own swing would be unusual. See section 3.</w:t>
      </w:r>
    </w:p>
    <w:p>
      <w:pPr>
        <w:pStyle w:val="ListBullet"/>
        <w:spacing w:after="40"/>
      </w:pPr>
      <w:r>
        <w:rPr>
          <w:b/>
          <w:i w:val="0"/>
          <w:color w:val="1A2E55"/>
          <w:sz w:val="19"/>
        </w:rPr>
        <w:t xml:space="preserve">For you. </w:t>
      </w:r>
      <w:r>
        <w:rPr>
          <w:b w:val="0"/>
          <w:i w:val="0"/>
          <w:sz w:val="19"/>
        </w:rPr>
        <w:t>Flagged ⚑, with a usable model record: SGX Group, where the price went against the news and the model sides with the price; UOB, where the price went against the news and the model sides with the news; ST Engineering, where the price went against the news and the model sides with the price. Their cards are worth reading first. The moves in ST Engineering and Singtel came without company news, so sector or market news is the place to check before reacting. If you prefer less day-to-day movement, Raffles Medical Group, Ascendas REIT, Mapletree Industrial, CapitaLand Integ. Comm. Trust and OCBC Bank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calm market, VIX below 15;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14–20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52514E"/>
                <w:sz w:val="15"/>
              </w:rPr>
              <w:t>-0.2%</w:t>
            </w:r>
          </w:p>
        </w:tc>
        <w:tc>
          <w:tcPr>
            <w:tcW w:type="dxa" w:w="792"/>
          </w:tcPr>
          <w:p>
            <w:pPr>
              <w:jc w:val="right"/>
            </w:pPr>
            <w:r>
              <w:rPr>
                <w:b w:val="0"/>
                <w:i w:val="0"/>
                <w:color w:val="52514E"/>
                <w:sz w:val="15"/>
              </w:rPr>
              <w:t>+0.2%</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 ⚑</w:t>
            </w:r>
          </w:p>
        </w:tc>
        <w:tc>
          <w:tcPr>
            <w:tcW w:type="dxa" w:w="662"/>
            <w:shd w:val="clear" w:color="auto" w:fill="F7F7F5"/>
          </w:tcPr>
          <w:p>
            <w:pPr>
              <w:jc w:val="right"/>
            </w:pPr>
            <w:r>
              <w:rPr>
                <w:b w:val="0"/>
                <w:i w:val="0"/>
                <w:color w:val="A12D2C"/>
                <w:sz w:val="15"/>
              </w:rPr>
              <w:t>-1.0%</w:t>
            </w:r>
          </w:p>
        </w:tc>
        <w:tc>
          <w:tcPr>
            <w:tcW w:type="dxa" w:w="792"/>
            <w:shd w:val="clear" w:color="auto" w:fill="F7F7F5"/>
          </w:tcPr>
          <w:p>
            <w:pPr>
              <w:jc w:val="right"/>
            </w:pPr>
            <w:r>
              <w:rPr>
                <w:b w:val="0"/>
                <w:i w:val="0"/>
                <w:color w:val="52514E"/>
                <w:sz w:val="15"/>
              </w:rPr>
              <w:t>-0.2%</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Price went the other way</w:t>
            </w:r>
          </w:p>
        </w:tc>
      </w:tr>
      <w:tr>
        <w:tc>
          <w:tcPr>
            <w:tcW w:type="dxa" w:w="360"/>
          </w:tcPr>
          <w:p>
            <w:r>
              <w:rPr>
                <w:b w:val="0"/>
                <w:i w:val="0"/>
                <w:sz w:val="15"/>
              </w:rPr>
              <w:t>3</w:t>
            </w:r>
          </w:p>
        </w:tc>
        <w:tc>
          <w:tcPr>
            <w:tcW w:type="dxa" w:w="2189"/>
          </w:tcPr>
          <w:p>
            <w:r>
              <w:rPr>
                <w:b w:val="0"/>
                <w:i w:val="0"/>
                <w:sz w:val="15"/>
              </w:rPr>
              <w:t>OCBC Bank ★</w:t>
            </w:r>
          </w:p>
        </w:tc>
        <w:tc>
          <w:tcPr>
            <w:tcW w:type="dxa" w:w="662"/>
          </w:tcPr>
          <w:p>
            <w:pPr>
              <w:jc w:val="right"/>
            </w:pPr>
            <w:r>
              <w:rPr>
                <w:b w:val="0"/>
                <w:i w:val="0"/>
                <w:color w:val="A12D2C"/>
                <w:sz w:val="15"/>
              </w:rPr>
              <w:t>-0.5%</w:t>
            </w:r>
          </w:p>
        </w:tc>
        <w:tc>
          <w:tcPr>
            <w:tcW w:type="dxa" w:w="792"/>
          </w:tcPr>
          <w:p>
            <w:pPr>
              <w:jc w:val="right"/>
            </w:pPr>
            <w:r>
              <w:rPr>
                <w:b w:val="0"/>
                <w:i w:val="0"/>
                <w:color w:val="A12D2C"/>
                <w:sz w:val="15"/>
              </w:rPr>
              <w:t>-0.8%</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Trend turned down · 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1C5CAB"/>
                <w:sz w:val="15"/>
              </w:rPr>
              <w:t>+0.4%</w:t>
            </w:r>
          </w:p>
        </w:tc>
        <w:tc>
          <w:tcPr>
            <w:tcW w:type="dxa" w:w="792"/>
            <w:shd w:val="clear" w:color="auto" w:fill="F7F7F5"/>
          </w:tcPr>
          <w:p>
            <w:pPr>
              <w:jc w:val="right"/>
            </w:pPr>
            <w:r>
              <w:rPr>
                <w:b w:val="0"/>
                <w:i w:val="0"/>
                <w:color w:val="A12D2C"/>
                <w:sz w:val="15"/>
              </w:rPr>
              <w:t>-2.0%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(29)</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Ascendas REIT ★</w:t>
            </w:r>
          </w:p>
        </w:tc>
        <w:tc>
          <w:tcPr>
            <w:tcW w:type="dxa" w:w="662"/>
          </w:tcPr>
          <w:p>
            <w:pPr>
              <w:jc w:val="right"/>
            </w:pPr>
            <w:r>
              <w:rPr>
                <w:b w:val="0"/>
                <w:i w:val="0"/>
                <w:color w:val="1C5CAB"/>
                <w:sz w:val="15"/>
              </w:rPr>
              <w:t>+0.4%</w:t>
            </w:r>
          </w:p>
        </w:tc>
        <w:tc>
          <w:tcPr>
            <w:tcW w:type="dxa" w:w="792"/>
          </w:tcPr>
          <w:p>
            <w:pPr>
              <w:jc w:val="right"/>
            </w:pPr>
            <w:r>
              <w:rPr>
                <w:b w:val="0"/>
                <w:i w:val="0"/>
                <w:color w:val="A12D2C"/>
                <w:sz w:val="15"/>
              </w:rPr>
              <w:t>-0.4%</w:t>
            </w:r>
          </w:p>
        </w:tc>
        <w:tc>
          <w:tcPr>
            <w:tcW w:type="dxa" w:w="1037"/>
            <w:shd w:val="clear" w:color="auto" w:fill="DCEAFB"/>
          </w:tcPr>
          <w:p>
            <w:r>
              <w:rPr>
                <w:b/>
                <w:i w:val="0"/>
                <w:color w:val="1C5CAB"/>
                <w:sz w:val="15"/>
              </w:rPr>
              <w:t>Positive</w:t>
            </w:r>
          </w:p>
        </w:tc>
        <w:tc>
          <w:tcPr>
            <w:tcW w:type="dxa" w:w="1382"/>
          </w:tcPr>
          <w:p>
            <w:r>
              <w:rPr>
                <w:b w:val="0"/>
                <w:i w:val="0"/>
                <w:sz w:val="15"/>
              </w:rPr>
              <w:t>Mostly positive (22)</w:t>
            </w:r>
          </w:p>
        </w:tc>
        <w:tc>
          <w:tcPr>
            <w:tcW w:type="dxa" w:w="1872"/>
          </w:tcPr>
          <w:p>
            <w:r>
              <w:rPr>
                <w:b w:val="0"/>
                <w:i w:val="0"/>
                <w:sz w:val="15"/>
              </w:rPr>
              <w:t>—</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1C5CAB"/>
                <w:sz w:val="15"/>
              </w:rPr>
              <w:t>+0.4%</w:t>
            </w:r>
          </w:p>
        </w:tc>
        <w:tc>
          <w:tcPr>
            <w:tcW w:type="dxa" w:w="792"/>
            <w:shd w:val="clear" w:color="auto" w:fill="F7F7F5"/>
          </w:tcPr>
          <w:p>
            <w:pPr>
              <w:jc w:val="right"/>
            </w:pPr>
            <w:r>
              <w:rPr>
                <w:b w:val="0"/>
                <w:i w:val="0"/>
                <w:color w:val="1C5CAB"/>
                <w:sz w:val="15"/>
              </w:rPr>
              <w:t>+1.4%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(30)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ComfortDelGro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-1.5%</w:t>
            </w:r>
          </w:p>
        </w:tc>
        <w:tc>
          <w:tcPr>
            <w:tcW w:type="dxa" w:w="1037"/>
            <w:shd w:val="clear" w:color="auto" w:fill="DCEAFB"/>
          </w:tcPr>
          <w:p>
            <w:r>
              <w:rPr>
                <w:b/>
                <w:i w:val="0"/>
                <w:color w:val="1C5CAB"/>
                <w:sz w:val="15"/>
              </w:rPr>
              <w:t>Positive</w:t>
            </w:r>
          </w:p>
        </w:tc>
        <w:tc>
          <w:tcPr>
            <w:tcW w:type="dxa" w:w="1382"/>
          </w:tcPr>
          <w:p>
            <w:r>
              <w:rPr>
                <w:b w:val="0"/>
                <w:i w:val="0"/>
                <w:sz w:val="15"/>
              </w:rPr>
              <w:t>Mostly positive (38)</w:t>
            </w:r>
          </w:p>
        </w:tc>
        <w:tc>
          <w:tcPr>
            <w:tcW w:type="dxa" w:w="1872"/>
          </w:tcPr>
          <w:p>
            <w:r>
              <w:rPr>
                <w:b w:val="0"/>
                <w:i w:val="0"/>
                <w:sz w:val="15"/>
              </w:rPr>
              <w:t>Trend turned down</w:t>
            </w:r>
          </w:p>
        </w:tc>
        <w:tc>
          <w:tcPr>
            <w:tcW w:type="dxa" w:w="1642"/>
          </w:tcPr>
          <w:p>
            <w:r>
              <w:rPr>
                <w:b w:val="0"/>
                <w:i w:val="0"/>
                <w:sz w:val="15"/>
              </w:rPr>
              <w:t>Not yet in the price</w:t>
            </w:r>
          </w:p>
        </w:tc>
      </w:tr>
      <w:tr>
        <w:tc>
          <w:tcPr>
            <w:tcW w:type="dxa" w:w="360"/>
            <w:shd w:val="clear" w:color="auto" w:fill="F7F7F5"/>
          </w:tcPr>
          <w:p>
            <w:r>
              <w:rPr>
                <w:b w:val="0"/>
                <w:i w:val="0"/>
                <w:sz w:val="15"/>
              </w:rPr>
              <w:t>8</w:t>
            </w:r>
          </w:p>
        </w:tc>
        <w:tc>
          <w:tcPr>
            <w:tcW w:type="dxa" w:w="2189"/>
            <w:shd w:val="clear" w:color="auto" w:fill="F7F7F5"/>
          </w:tcPr>
          <w:p>
            <w:r>
              <w:rPr>
                <w:b w:val="0"/>
                <w:i w:val="0"/>
                <w:sz w:val="15"/>
              </w:rPr>
              <w:t>UOB ★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-1.5%</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went the other way</w:t>
            </w:r>
          </w:p>
        </w:tc>
      </w:tr>
      <w:tr>
        <w:tc>
          <w:tcPr>
            <w:tcW w:type="dxa" w:w="360"/>
          </w:tcPr>
          <w:p>
            <w:r>
              <w:rPr>
                <w:b w:val="0"/>
                <w:i w:val="0"/>
                <w:sz w:val="15"/>
              </w:rPr>
              <w:t>9</w:t>
            </w:r>
          </w:p>
        </w:tc>
        <w:tc>
          <w:tcPr>
            <w:tcW w:type="dxa" w:w="2189"/>
          </w:tcPr>
          <w:p>
            <w:r>
              <w:rPr>
                <w:b w:val="0"/>
                <w:i w:val="0"/>
                <w:sz w:val="15"/>
              </w:rPr>
              <w:t>Singtel ★</w:t>
            </w:r>
          </w:p>
        </w:tc>
        <w:tc>
          <w:tcPr>
            <w:tcW w:type="dxa" w:w="662"/>
          </w:tcPr>
          <w:p>
            <w:pPr>
              <w:jc w:val="right"/>
            </w:pPr>
            <w:r>
              <w:rPr>
                <w:b w:val="0"/>
                <w:i w:val="0"/>
                <w:color w:val="1C5CAB"/>
                <w:sz w:val="15"/>
              </w:rPr>
              <w:t>+0.5%</w:t>
            </w:r>
          </w:p>
        </w:tc>
        <w:tc>
          <w:tcPr>
            <w:tcW w:type="dxa" w:w="792"/>
          </w:tcPr>
          <w:p>
            <w:pPr>
              <w:jc w:val="right"/>
            </w:pPr>
            <w:r>
              <w:rPr>
                <w:b w:val="0"/>
                <w:i w:val="0"/>
                <w:color w:val="1C5CAB"/>
                <w:sz w:val="15"/>
              </w:rPr>
              <w:t>+4.7%</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ST Engineering ★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1C5CAB"/>
                <w:sz w:val="15"/>
              </w:rPr>
              <w:t>+4.7%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(49)</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went the other way</w:t>
            </w:r>
          </w:p>
        </w:tc>
      </w:tr>
      <w:tr>
        <w:tc>
          <w:tcPr>
            <w:tcW w:type="dxa" w:w="360"/>
          </w:tcPr>
          <w:p>
            <w:r>
              <w:rPr>
                <w:b w:val="0"/>
                <w:i w:val="0"/>
                <w:sz w:val="15"/>
              </w:rPr>
              <w:t>11</w:t>
            </w:r>
          </w:p>
        </w:tc>
        <w:tc>
          <w:tcPr>
            <w:tcW w:type="dxa" w:w="2189"/>
          </w:tcPr>
          <w:p>
            <w:r>
              <w:rPr>
                <w:b w:val="0"/>
                <w:i w:val="0"/>
                <w:sz w:val="15"/>
              </w:rPr>
              <w:t>Wilmar Intl ★</w:t>
            </w:r>
          </w:p>
        </w:tc>
        <w:tc>
          <w:tcPr>
            <w:tcW w:type="dxa" w:w="662"/>
          </w:tcPr>
          <w:p>
            <w:pPr>
              <w:jc w:val="right"/>
            </w:pPr>
            <w:r>
              <w:rPr>
                <w:b w:val="0"/>
                <w:i w:val="0"/>
                <w:color w:val="1C5CAB"/>
                <w:sz w:val="15"/>
              </w:rPr>
              <w:t>+0.5%</w:t>
            </w:r>
          </w:p>
        </w:tc>
        <w:tc>
          <w:tcPr>
            <w:tcW w:type="dxa" w:w="792"/>
          </w:tcPr>
          <w:p>
            <w:pPr>
              <w:jc w:val="right"/>
            </w:pPr>
            <w:r>
              <w:rPr>
                <w:b w:val="0"/>
                <w:i w:val="0"/>
                <w:color w:val="52514E"/>
                <w:sz w:val="15"/>
              </w:rPr>
              <w:t>+0.0%</w:t>
            </w:r>
          </w:p>
        </w:tc>
        <w:tc>
          <w:tcPr>
            <w:tcW w:type="dxa" w:w="1037"/>
            <w:shd w:val="clear" w:color="auto" w:fill="DCEAFB"/>
          </w:tcPr>
          <w:p>
            <w:r>
              <w:rPr>
                <w:b/>
                <w:i w:val="0"/>
                <w:color w:val="1C5CAB"/>
                <w:sz w:val="15"/>
              </w:rPr>
              <w:t>Positive</w:t>
            </w:r>
          </w:p>
        </w:tc>
        <w:tc>
          <w:tcPr>
            <w:tcW w:type="dxa" w:w="1382"/>
          </w:tcPr>
          <w:p>
            <w:r>
              <w:rPr>
                <w:b w:val="0"/>
                <w:i w:val="0"/>
                <w:sz w:val="15"/>
              </w:rPr>
              <w:t>Mixed (24)</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Mapletree Pan Asia Comm. Trust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52514E"/>
                <w:sz w:val="15"/>
              </w:rPr>
              <w:t>+0.0%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(21)</w:t>
            </w:r>
          </w:p>
        </w:tc>
        <w:tc>
          <w:tcPr>
            <w:tcW w:type="dxa" w:w="1872"/>
            <w:shd w:val="clear" w:color="auto" w:fill="F7F7F5"/>
          </w:tcPr>
          <w:p>
            <w:r>
              <w:rPr>
                <w:b w:val="0"/>
                <w:i w:val="0"/>
                <w:sz w:val="15"/>
              </w:rPr>
              <w:t>—</w:t>
            </w:r>
          </w:p>
        </w:tc>
        <w:tc>
          <w:tcPr>
            <w:tcW w:type="dxa" w:w="1642"/>
            <w:shd w:val="clear" w:color="auto" w:fill="F7F7F5"/>
          </w:tcPr>
          <w:p>
            <w:r>
              <w:rPr>
                <w:b w:val="0"/>
                <w:i w:val="0"/>
                <w:sz w:val="15"/>
              </w:rPr>
              <w:t>Price agreed</w:t>
            </w:r>
          </w:p>
        </w:tc>
      </w:tr>
      <w:tr>
        <w:tc>
          <w:tcPr>
            <w:tcW w:type="dxa" w:w="360"/>
          </w:tcPr>
          <w:p>
            <w:r>
              <w:rPr>
                <w:b w:val="0"/>
                <w:i w:val="0"/>
                <w:sz w:val="15"/>
              </w:rPr>
              <w:t>13</w:t>
            </w:r>
          </w:p>
        </w:tc>
        <w:tc>
          <w:tcPr>
            <w:tcW w:type="dxa" w:w="2189"/>
          </w:tcPr>
          <w:p>
            <w:r>
              <w:rPr>
                <w:b w:val="0"/>
                <w:i w:val="0"/>
                <w:sz w:val="15"/>
              </w:rPr>
              <w:t>Raffles Medical Group ★</w:t>
            </w:r>
          </w:p>
        </w:tc>
        <w:tc>
          <w:tcPr>
            <w:tcW w:type="dxa" w:w="662"/>
          </w:tcPr>
          <w:p>
            <w:pPr>
              <w:jc w:val="right"/>
            </w:pPr>
            <w:r>
              <w:rPr>
                <w:b w:val="0"/>
                <w:i w:val="0"/>
                <w:color w:val="52514E"/>
                <w:sz w:val="15"/>
              </w:rPr>
              <w:t>+0.0%</w:t>
            </w:r>
          </w:p>
        </w:tc>
        <w:tc>
          <w:tcPr>
            <w:tcW w:type="dxa" w:w="792"/>
          </w:tcPr>
          <w:p>
            <w:pPr>
              <w:jc w:val="right"/>
            </w:pPr>
            <w:r>
              <w:rPr>
                <w:b w:val="0"/>
                <w:i w:val="0"/>
                <w:color w:val="A12D2C"/>
                <w:sz w:val="15"/>
              </w:rPr>
              <w:t>-0.6%</w:t>
            </w:r>
          </w:p>
        </w:tc>
        <w:tc>
          <w:tcPr>
            <w:tcW w:type="dxa" w:w="1037"/>
            <w:shd w:val="clear" w:color="auto" w:fill="DCEAFB"/>
          </w:tcPr>
          <w:p>
            <w:r>
              <w:rPr>
                <w:b/>
                <w:i w:val="0"/>
                <w:color w:val="1C5CAB"/>
                <w:sz w:val="15"/>
              </w:rPr>
              <w:t>Positive</w:t>
            </w:r>
          </w:p>
        </w:tc>
        <w:tc>
          <w:tcPr>
            <w:tcW w:type="dxa" w:w="1382"/>
          </w:tcPr>
          <w:p>
            <w:r>
              <w:rPr>
                <w:b w:val="0"/>
                <w:i w:val="0"/>
                <w:sz w:val="15"/>
              </w:rPr>
              <w:t>Mixed (22)</w:t>
            </w:r>
          </w:p>
        </w:tc>
        <w:tc>
          <w:tcPr>
            <w:tcW w:type="dxa" w:w="1872"/>
          </w:tcPr>
          <w:p>
            <w:r>
              <w:rPr>
                <w:b w:val="0"/>
                <w:i w:val="0"/>
                <w:sz w:val="15"/>
              </w:rPr>
              <w:t>Weekly down · Trend turned up</w:t>
            </w:r>
          </w:p>
        </w:tc>
        <w:tc>
          <w:tcPr>
            <w:tcW w:type="dxa" w:w="1642"/>
          </w:tcPr>
          <w:p>
            <w:r>
              <w:rPr>
                <w:b w:val="0"/>
                <w:i w:val="0"/>
                <w:sz w:val="15"/>
              </w:rPr>
              <w:t>Not yet in the price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Sembcorp Industries ★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1C5CAB"/>
                <w:sz w:val="15"/>
              </w:rPr>
              <w:t>+8.2%</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negative (28)</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Mostly negative (25)</w:t>
            </w:r>
          </w:p>
        </w:tc>
        <w:tc>
          <w:tcPr>
            <w:tcW w:type="dxa" w:w="1872"/>
          </w:tcPr>
          <w:p>
            <w:r>
              <w:rPr>
                <w:b w:val="0"/>
                <w:i w:val="0"/>
                <w:sz w:val="15"/>
              </w:rPr>
              <w:t>Above avg price</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(4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14–20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20.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-0.2% over 14–20 Aug</w:t>
            </w:r>
          </w:p>
          <w:p>
            <w:pPr>
              <w:spacing w:after="10" w:line="240" w:lineRule="auto"/>
            </w:pPr>
            <w:r>
              <w:rPr>
                <w:b/>
                <w:i w:val="0"/>
                <w:color w:val="1A2E55"/>
                <w:sz w:val="16"/>
              </w:rPr>
              <w:t xml:space="preserve">In short (AI-written, checked)  </w:t>
            </w:r>
            <w:r>
              <w:rPr>
                <w:b w:val="0"/>
                <w:i w:val="0"/>
                <w:sz w:val="16"/>
              </w:rPr>
              <w:t>SGX Group fell 0.2% over 14–20 Aug. The news today was mostly positive, but it does not explain the move. The forecast model expects a fall, though that signal is weak.</w:t>
            </w:r>
          </w:p>
          <w:p>
            <w:pPr>
              <w:spacing w:after="10" w:line="240" w:lineRule="auto"/>
            </w:pPr>
            <w:r>
              <w:rPr>
                <w:b/>
                <w:i w:val="0"/>
                <w:color w:val="1A2E55"/>
                <w:sz w:val="16"/>
              </w:rPr>
              <w:t xml:space="preserve">What happened  </w:t>
            </w:r>
            <w:r>
              <w:rPr>
                <w:b w:val="0"/>
                <w:i w:val="0"/>
                <w:sz w:val="16"/>
              </w:rPr>
              <w:t>Fell 0.2% over 14–20 Aug, including -1.9% on Tue 18 Aug. Today -1.0%.</w:t>
            </w:r>
          </w:p>
          <w:p>
            <w:pPr>
              <w:spacing w:after="10" w:line="240" w:lineRule="auto"/>
            </w:pPr>
            <w:r>
              <w:rPr>
                <w:b/>
                <w:i w:val="0"/>
                <w:color w:val="1A2E55"/>
                <w:sz w:val="16"/>
              </w:rPr>
              <w:t xml:space="preserve">Today: news vs price  </w:t>
            </w:r>
            <w:r>
              <w:rPr>
                <w:b w:val="0"/>
                <w:i w:val="0"/>
                <w:sz w:val="16"/>
              </w:rPr>
              <w:t>Positive reading, but the price fell 1.0%: the price went against the news. The forecast model sides with the price. (Pattern: Contradicted.)</w:t>
            </w:r>
          </w:p>
          <w:p>
            <w:pPr>
              <w:spacing w:after="10" w:line="240" w:lineRule="auto"/>
            </w:pPr>
            <w:r>
              <w:rPr>
                <w:b/>
                <w:i w:val="0"/>
                <w:color w:val="1A2E55"/>
                <w:sz w:val="16"/>
              </w:rPr>
              <w:t xml:space="preserve">Last 5 days in context  </w:t>
            </w:r>
            <w:r>
              <w:rPr>
                <w:b w:val="0"/>
                <w:i w:val="0"/>
                <w:sz w:val="16"/>
              </w:rPr>
              <w:t>Company news collected today was mostly positive; the price fell 0.2% over 14–20 Aug, against +0.8% for the 15 stocks on average. So it barely moved over the period.</w:t>
            </w:r>
          </w:p>
          <w:p>
            <w:pPr>
              <w:spacing w:after="10" w:line="240" w:lineRule="auto"/>
            </w:pPr>
            <w:r>
              <w:rPr>
                <w:b/>
                <w:i w:val="0"/>
                <w:color w:val="1A2E55"/>
                <w:sz w:val="16"/>
              </w:rPr>
              <w:t xml:space="preserve">News today  </w:t>
            </w:r>
            <w:r>
              <w:rPr>
                <w:b w:val="0"/>
                <w:i w:val="0"/>
                <w:sz w:val="16"/>
              </w:rPr>
              <w:t>50 articles collected today: 25 positive, 5 negative, 20 neutral (mostly positive). Event tags: dividend, earnings, merger or acquisition.</w:t>
            </w:r>
          </w:p>
          <w:p>
            <w:pPr>
              <w:spacing w:after="10" w:line="240" w:lineRule="auto"/>
            </w:pPr>
            <w:r>
              <w:rPr>
                <w:b/>
                <w:i w:val="0"/>
                <w:color w:val="1A2E55"/>
                <w:sz w:val="16"/>
              </w:rPr>
              <w:t xml:space="preserve">Headlines  </w:t>
            </w:r>
            <w:r>
              <w:rPr>
                <w:b w:val="0"/>
                <w:i w:val="0"/>
                <w:sz w:val="16"/>
              </w:rPr>
              <w:t>+ “SGX records all-time highs in revenue, net profit for FY2026” (The Business Times, 06 Aug)   − “SGX’s record year masks Singapore’s equities challenge” (The Business Times, 12 Aug)</w:t>
            </w:r>
          </w:p>
          <w:p>
            <w:pPr>
              <w:spacing w:after="10" w:line="240" w:lineRule="auto"/>
            </w:pPr>
            <w:r>
              <w:rPr>
                <w:b/>
                <w:i w:val="0"/>
                <w:color w:val="1A2E55"/>
                <w:sz w:val="16"/>
              </w:rPr>
              <w:t xml:space="preserve">Price chart  </w:t>
            </w:r>
            <w:r>
              <w:rPr>
                <w:b w:val="0"/>
                <w:i w:val="0"/>
                <w:sz w:val="16"/>
              </w:rPr>
              <w:t>RSI 58,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+0.77; positive above +0.35, negative below −0.35), and on all 3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calm market +0.21, political news +0.01 (unreliable, section 5).</w:t>
            </w:r>
          </w:p>
          <w:p>
            <w:pPr>
              <w:spacing w:after="10" w:line="240" w:lineRule="auto"/>
            </w:pPr>
            <w:r>
              <w:rPr>
                <w:b/>
                <w:i w:val="0"/>
                <w:color w:val="1A2E55"/>
                <w:sz w:val="16"/>
              </w:rPr>
              <w:t xml:space="preserve">AI summary of the evidence (checked)  </w:t>
            </w:r>
            <w:r>
              <w:rPr>
                <w:b w:val="0"/>
                <w:i w:val="0"/>
                <w:sz w:val="16"/>
              </w:rPr>
              <w:t>SGX maintains a positive outlook driven by a risk‑on macro regime, record trading volumes, and a strong IPO pipeline, as highlighted in the "SGX securities turnover soars 70% to $45.8b in May" and "SGX has IPO pipeline of around 50 companies" headlines. Positive corporate events and robust revenue growth in FY2026 reinforce this stance, with the "SGX records all-time highs in revenue, net profit for FY2026" article underscoring earnings strength. However, elevated political news volume and negative macro headlines about the Iran conflict and oil price fears introduce downside pressure, and a sudden VIX spike could reverse the current risk‑on sentiment.</w:t>
            </w:r>
          </w:p>
          <w:p>
            <w:pPr>
              <w:spacing w:after="10" w:line="240" w:lineRule="auto"/>
            </w:pPr>
            <w:r>
              <w:rPr>
                <w:b/>
                <w:i w:val="0"/>
                <w:color w:val="1A2E55"/>
                <w:sz w:val="16"/>
              </w:rPr>
              <w:t xml:space="preserve">Forecast lean  </w:t>
            </w:r>
            <w:r>
              <w:rPr>
                <w:b w:val="0"/>
                <w:i w:val="0"/>
                <w:sz w:val="16"/>
              </w:rPr>
              <w:t>Fall over the next 3 trading days (chance 72%); its normal 3-day swing is ±1.9%. Past record on this stock: ✓, but rise-or-fall calls marked ✓ were right only 43%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UOB</w:t>
            </w:r>
            <w:r>
              <w:rPr>
                <w:b w:val="0"/>
                <w:i w:val="0"/>
                <w:color w:val="52514E"/>
                <w:sz w:val="17"/>
              </w:rPr>
              <w:t xml:space="preserve">   Banking  ·  -1.5% over 14–20 Aug</w:t>
            </w:r>
          </w:p>
          <w:p>
            <w:pPr>
              <w:spacing w:after="10" w:line="240" w:lineRule="auto"/>
            </w:pPr>
            <w:r>
              <w:rPr>
                <w:b/>
                <w:i w:val="0"/>
                <w:color w:val="1A2E55"/>
                <w:sz w:val="16"/>
              </w:rPr>
              <w:t xml:space="preserve">In short (AI-written, checked)  </w:t>
            </w:r>
            <w:r>
              <w:rPr>
                <w:b w:val="0"/>
                <w:i w:val="0"/>
                <w:sz w:val="16"/>
              </w:rPr>
              <w:t>UOB fell 1.5% over 14–20 Aug. The news today was mixed and does not clearly explain the move. The forecast model expects a rise, but that is a weak signal.</w:t>
            </w:r>
          </w:p>
          <w:p>
            <w:pPr>
              <w:spacing w:after="10" w:line="240" w:lineRule="auto"/>
            </w:pPr>
            <w:r>
              <w:rPr>
                <w:b/>
                <w:i w:val="0"/>
                <w:color w:val="1A2E55"/>
                <w:sz w:val="16"/>
              </w:rPr>
              <w:t xml:space="preserve">What happened  </w:t>
            </w:r>
            <w:r>
              <w:rPr>
                <w:b w:val="0"/>
                <w:i w:val="0"/>
                <w:sz w:val="16"/>
              </w:rPr>
              <w:t>Fell 1.5% over 14–20 Aug; its biggest day was Thu 20 Aug (-0.8%). Today -0.8%.</w:t>
            </w:r>
          </w:p>
          <w:p>
            <w:pPr>
              <w:spacing w:after="10" w:line="240" w:lineRule="auto"/>
            </w:pPr>
            <w:r>
              <w:rPr>
                <w:b/>
                <w:i w:val="0"/>
                <w:color w:val="1A2E55"/>
                <w:sz w:val="16"/>
              </w:rPr>
              <w:t xml:space="preserve">Today: news vs price  </w:t>
            </w:r>
            <w:r>
              <w:rPr>
                <w:b w:val="0"/>
                <w:i w:val="0"/>
                <w:sz w:val="16"/>
              </w:rPr>
              <w:t>Positive reading, but the price fell 0.8%: the price went against the news. The forecast model sides with the news. (Pattern: Lag.)</w:t>
            </w:r>
          </w:p>
          <w:p>
            <w:pPr>
              <w:spacing w:after="10" w:line="240" w:lineRule="auto"/>
            </w:pPr>
            <w:r>
              <w:rPr>
                <w:b/>
                <w:i w:val="0"/>
                <w:color w:val="1A2E55"/>
                <w:sz w:val="16"/>
              </w:rPr>
              <w:t xml:space="preserve">Last 5 days in context  </w:t>
            </w:r>
            <w:r>
              <w:rPr>
                <w:b w:val="0"/>
                <w:i w:val="0"/>
                <w:sz w:val="16"/>
              </w:rPr>
              <w:t>Company news collected today was mixed; the price fell 1.5% over 14–20 Aug, its 2 sector peers -0.3% on average, and the 15 stocks +0.8% on average. So there is no company story in the news, and the stock moved against the market; sector or wider news, outside this report's sources, is the place to look.</w:t>
            </w:r>
          </w:p>
          <w:p>
            <w:pPr>
              <w:spacing w:after="10" w:line="240" w:lineRule="auto"/>
            </w:pPr>
            <w:r>
              <w:rPr>
                <w:b/>
                <w:i w:val="0"/>
                <w:color w:val="1A2E55"/>
                <w:sz w:val="16"/>
              </w:rPr>
              <w:t xml:space="preserve">News today  </w:t>
            </w:r>
            <w:r>
              <w:rPr>
                <w:b w:val="0"/>
                <w:i w:val="0"/>
                <w:sz w:val="16"/>
              </w:rPr>
              <w:t>50 articles collected today: 16 positive, 18 negative, 16 neutral (mixed). Event tags: dividend, earnings, merger or acquisition, upgrade.</w:t>
            </w:r>
          </w:p>
          <w:p>
            <w:pPr>
              <w:spacing w:after="10" w:line="240" w:lineRule="auto"/>
            </w:pPr>
            <w:r>
              <w:rPr>
                <w:b/>
                <w:i w:val="0"/>
                <w:color w:val="1A2E55"/>
                <w:sz w:val="16"/>
              </w:rPr>
              <w:t xml:space="preserve">Headlines  </w:t>
            </w:r>
            <w:r>
              <w:rPr>
                <w:b w:val="0"/>
                <w:i w:val="0"/>
                <w:sz w:val="16"/>
              </w:rPr>
              <w:t>+ “United Overseas Bank (SGX:U11) Stock Gains Meet Lingering Margin Squeeze” (simplywall.st, 07 Aug)   − “Stocks to watch: UOB, Singtel, UMS Integration, Koh Brothers Eco Engineering” (Business Times, 19 Aug)</w:t>
            </w:r>
          </w:p>
          <w:p>
            <w:pPr>
              <w:spacing w:after="10" w:line="240" w:lineRule="auto"/>
            </w:pPr>
            <w:r>
              <w:rPr>
                <w:b/>
                <w:i w:val="0"/>
                <w:color w:val="1A2E55"/>
                <w:sz w:val="16"/>
              </w:rPr>
              <w:t xml:space="preserve">Price chart  </w:t>
            </w:r>
            <w:r>
              <w:rPr>
                <w:b w:val="0"/>
                <w:i w:val="0"/>
                <w:sz w:val="16"/>
              </w:rPr>
              <w:t>RSI 39,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Positive today (score +0.45; positive above +0.35, negative below −0.35), and on 2 of the 3 earlier recorded days. Without 'Earnings/dividend headlines' it would be neutral.</w:t>
            </w:r>
          </w:p>
          <w:p>
            <w:pPr>
              <w:spacing w:after="10" w:line="240" w:lineRule="auto"/>
            </w:pPr>
            <w:r>
              <w:rPr>
                <w:b/>
                <w:i w:val="0"/>
                <w:color w:val="1A2E55"/>
                <w:sz w:val="16"/>
              </w:rPr>
              <w:t xml:space="preserve">Rules behind the reading  </w:t>
            </w:r>
            <w:r>
              <w:rPr>
                <w:b w:val="0"/>
                <w:i w:val="0"/>
                <w:sz w:val="16"/>
              </w:rPr>
              <w:t>Up: earnings/dividend headlines +0.20, above average price +0.02. Market-wide: calm market +0.21, political news +0.01 (unreliable, section 5).</w:t>
            </w:r>
          </w:p>
          <w:p>
            <w:pPr>
              <w:spacing w:after="10" w:line="240" w:lineRule="auto"/>
            </w:pPr>
            <w:r>
              <w:rPr>
                <w:b/>
                <w:i w:val="0"/>
                <w:color w:val="1A2E55"/>
                <w:sz w:val="16"/>
              </w:rPr>
              <w:t xml:space="preserve">AI summary of the evidence (checked)  </w:t>
            </w:r>
            <w:r>
              <w:rPr>
                <w:b w:val="0"/>
                <w:i w:val="0"/>
                <w:sz w:val="16"/>
              </w:rPr>
              <w:t>Despite the rule‑based model’s positive baseline driven by a positive geopolitical backdrop, risk‑on macro regime, strong dividend outlook, and price above VWAP, the next‑day return models flag political news volume and tone as negative. The RandomForest ML-model highlights RSI momentum (+0.162) and a low share of negative news (+0.052) as positive, while the LogReg model remains neutral. The 1Q FY2026 business update shows a 4% profit decline and lower net interest income, adding a cautionary note. Overall, the outlook stays positive at 68% confidence, though the internal contradiction around political news volume and the model split between linear and non‑linear predictions suggest a mild risk of reversal.</w:t>
            </w:r>
          </w:p>
          <w:p>
            <w:pPr>
              <w:spacing w:after="10" w:line="240" w:lineRule="auto"/>
            </w:pPr>
            <w:r>
              <w:rPr>
                <w:b/>
                <w:i w:val="0"/>
                <w:color w:val="1A2E55"/>
                <w:sz w:val="16"/>
              </w:rPr>
              <w:t xml:space="preserve">Forecast lean  </w:t>
            </w:r>
            <w:r>
              <w:rPr>
                <w:b w:val="0"/>
                <w:i w:val="0"/>
                <w:sz w:val="16"/>
              </w:rPr>
              <w:t>Rise over the next 3 trading days (chance 99%); its normal 3-day swing is ±1.6%. Past record on this stock: ✓, but rise-or-fall calls marked ✓ were right only 43%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ST Engineering</w:t>
            </w:r>
            <w:r>
              <w:rPr>
                <w:b w:val="0"/>
                <w:i w:val="0"/>
                <w:color w:val="52514E"/>
                <w:sz w:val="17"/>
              </w:rPr>
              <w:t xml:space="preserve">   Industrials  ·  +4.7% over 14–20 Aug</w:t>
            </w:r>
          </w:p>
          <w:p>
            <w:pPr>
              <w:spacing w:after="10" w:line="240" w:lineRule="auto"/>
            </w:pPr>
            <w:r>
              <w:rPr>
                <w:b/>
                <w:i w:val="0"/>
                <w:color w:val="1A2E55"/>
                <w:sz w:val="16"/>
              </w:rPr>
              <w:t xml:space="preserve">In short (AI-written, checked)  </w:t>
            </w:r>
            <w:r>
              <w:rPr>
                <w:b w:val="0"/>
                <w:i w:val="0"/>
                <w:sz w:val="16"/>
              </w:rPr>
              <w:t>ST Engineering rose 4.7% over 14–20 Aug. The news today was mixed and does not clearly explain the move. The forecast model expects a fall, but that is a weak signal.</w:t>
            </w:r>
          </w:p>
          <w:p>
            <w:pPr>
              <w:spacing w:after="10" w:line="240" w:lineRule="auto"/>
            </w:pPr>
            <w:r>
              <w:rPr>
                <w:b/>
                <w:i w:val="0"/>
                <w:color w:val="1A2E55"/>
                <w:sz w:val="16"/>
              </w:rPr>
              <w:t xml:space="preserve">What happened  </w:t>
            </w:r>
            <w:r>
              <w:rPr>
                <w:b w:val="0"/>
                <w:i w:val="0"/>
                <w:sz w:val="16"/>
              </w:rPr>
              <w:t>Rose 4.7% over 14–20 Aug, including +5.8% on Fri 14 Aug. Today -0.8%.</w:t>
            </w:r>
          </w:p>
          <w:p>
            <w:pPr>
              <w:spacing w:after="10" w:line="240" w:lineRule="auto"/>
            </w:pPr>
            <w:r>
              <w:rPr>
                <w:b/>
                <w:i w:val="0"/>
                <w:color w:val="1A2E55"/>
                <w:sz w:val="16"/>
              </w:rPr>
              <w:t xml:space="preserve">Today: news vs price  </w:t>
            </w:r>
            <w:r>
              <w:rPr>
                <w:b w:val="0"/>
                <w:i w:val="0"/>
                <w:sz w:val="16"/>
              </w:rPr>
              <w:t>Positive reading, but the price fell 0.8%: the price went against the news. The forecast model sides with the price. (Pattern: Contradicted.)</w:t>
            </w:r>
          </w:p>
          <w:p>
            <w:pPr>
              <w:spacing w:after="10" w:line="240" w:lineRule="auto"/>
            </w:pPr>
            <w:r>
              <w:rPr>
                <w:b/>
                <w:i w:val="0"/>
                <w:color w:val="1A2E55"/>
                <w:sz w:val="16"/>
              </w:rPr>
              <w:t xml:space="preserve">Last 5 days in context  </w:t>
            </w:r>
            <w:r>
              <w:rPr>
                <w:b w:val="0"/>
                <w:i w:val="0"/>
                <w:sz w:val="16"/>
              </w:rPr>
              <w:t>Company news collected today was mixed; the price rose 4.7% over 14–20 Aug, its 2 sector peers +4.8% on average, and the 15 stocks +0.8% on average. So there is no company story in the news, and the move looks sector-wide.</w:t>
            </w:r>
          </w:p>
          <w:p>
            <w:pPr>
              <w:spacing w:after="10" w:line="240" w:lineRule="auto"/>
            </w:pPr>
            <w:r>
              <w:rPr>
                <w:b/>
                <w:i w:val="0"/>
                <w:color w:val="1A2E55"/>
                <w:sz w:val="16"/>
              </w:rPr>
              <w:t xml:space="preserve">News today  </w:t>
            </w:r>
            <w:r>
              <w:rPr>
                <w:b w:val="0"/>
                <w:i w:val="0"/>
                <w:sz w:val="16"/>
              </w:rPr>
              <w:t>49 articles collected today: 18 positive, 13 negative, 18 neutral (mixed). Event tags: dividend, earnings, management change.</w:t>
            </w:r>
          </w:p>
          <w:p>
            <w:pPr>
              <w:spacing w:after="10" w:line="240" w:lineRule="auto"/>
            </w:pPr>
            <w:r>
              <w:rPr>
                <w:b/>
                <w:i w:val="0"/>
                <w:color w:val="1A2E55"/>
                <w:sz w:val="16"/>
              </w:rPr>
              <w:t xml:space="preserve">Headlines  </w:t>
            </w:r>
            <w:r>
              <w:rPr>
                <w:b w:val="0"/>
                <w:i w:val="0"/>
                <w:sz w:val="16"/>
              </w:rPr>
              <w:t>+ “Genting, Sembcorp, ST Engineering: Top Blue-Chip Stocks to Watch This Week” (The Smart Investor, 11 Aug)   − “Stocks to watch: SIA, Elite UK Reit, Koh Brothers Eco Engineering” (Business Times, 18 Aug)</w:t>
            </w:r>
          </w:p>
          <w:p>
            <w:pPr>
              <w:spacing w:after="10" w:line="240" w:lineRule="auto"/>
            </w:pPr>
            <w:r>
              <w:rPr>
                <w:b/>
                <w:i w:val="0"/>
                <w:color w:val="1A2E55"/>
                <w:sz w:val="16"/>
              </w:rPr>
              <w:t xml:space="preserve">Price chart  </w:t>
            </w:r>
            <w:r>
              <w:rPr>
                <w:b w:val="0"/>
                <w:i w:val="0"/>
                <w:sz w:val="16"/>
              </w:rPr>
              <w:t>RSI 57,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Positive today (score +0.45; positive above +0.35, negative below −0.35), and on 2 of the 3 earlier recorded days. Without 'Earnings/dividend headlines' it would be neutral.</w:t>
            </w:r>
          </w:p>
          <w:p>
            <w:pPr>
              <w:spacing w:after="10" w:line="240" w:lineRule="auto"/>
            </w:pPr>
            <w:r>
              <w:rPr>
                <w:b/>
                <w:i w:val="0"/>
                <w:color w:val="1A2E55"/>
                <w:sz w:val="16"/>
              </w:rPr>
              <w:t xml:space="preserve">Rules behind the reading  </w:t>
            </w:r>
            <w:r>
              <w:rPr>
                <w:b w:val="0"/>
                <w:i w:val="0"/>
                <w:sz w:val="16"/>
              </w:rPr>
              <w:t>Up: earnings/dividend headlines +0.20, above average price +0.02. Market-wide: calm market +0.21, political news +0.01 (unreliable, section 5).</w:t>
            </w:r>
          </w:p>
          <w:p>
            <w:pPr>
              <w:spacing w:after="10" w:line="240" w:lineRule="auto"/>
            </w:pPr>
            <w:r>
              <w:rPr>
                <w:b/>
                <w:i w:val="0"/>
                <w:color w:val="1A2E55"/>
                <w:sz w:val="16"/>
              </w:rPr>
              <w:t xml:space="preserve">AI summary of the evidence (checked)  </w:t>
            </w:r>
            <w:r>
              <w:rPr>
                <w:b w:val="0"/>
                <w:i w:val="0"/>
                <w:sz w:val="16"/>
              </w:rPr>
              <w:t>ST Engineering remains positive on the back of a positive geopolitical backdrop, a risk‑on macro regime, and recent corporate events that lifted its shares 1.6% as reported by the Business Times, while the price sits above VWAP. However, the ML models predict a negative next‑day return, citing negative political news tone, high political news volume, and weak RSI momentum as risk factors. Overall, the positive outlook is supported by strong corporate performance and favorable market sentiment, but caution is advised amid rising geopolitical tensions and negative macro headlines.</w:t>
            </w:r>
          </w:p>
          <w:p>
            <w:pPr>
              <w:spacing w:after="10" w:line="240" w:lineRule="auto"/>
            </w:pPr>
            <w:r>
              <w:rPr>
                <w:b/>
                <w:i w:val="0"/>
                <w:color w:val="1A2E55"/>
                <w:sz w:val="16"/>
              </w:rPr>
              <w:t xml:space="preserve">Forecast lean  </w:t>
            </w:r>
            <w:r>
              <w:rPr>
                <w:b w:val="0"/>
                <w:i w:val="0"/>
                <w:sz w:val="16"/>
              </w:rPr>
              <w:t>Fall over the next 3 trading days (chance 99%); its normal 3-day swing is ±3.5%. Past record on this stock: ✓, but rise-or-fall calls marked ✓ were right only 43% in testing, so treat the direction as unknown.</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±0.6%</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±1.6%</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UOB</w:t>
            </w:r>
          </w:p>
        </w:tc>
        <w:tc>
          <w:tcPr>
            <w:tcW w:type="dxa" w:w="1368"/>
          </w:tcPr>
          <w:p>
            <w:pPr>
              <w:keepNext/>
              <w:jc w:val="right"/>
            </w:pPr>
            <w:r>
              <w:rPr>
                <w:b w:val="0"/>
                <w:i w:val="0"/>
                <w:sz w:val="16"/>
              </w:rPr>
              <w:t>±1.6%</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Raffles Medical Group</w:t>
            </w:r>
          </w:p>
        </w:tc>
        <w:tc>
          <w:tcPr>
            <w:tcW w:type="dxa" w:w="1368"/>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75%</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SGX Group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72%</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99%</w:t>
            </w:r>
          </w:p>
        </w:tc>
        <w:tc>
          <w:tcPr>
            <w:tcW w:type="dxa" w:w="2016"/>
            <w:shd w:val="clear" w:color="auto" w:fill="FBE1E0"/>
          </w:tcPr>
          <w:p>
            <w:pPr>
              <w:keepNext/>
            </w:pPr>
            <w:r>
              <w:rPr>
                <w:b/>
                <w:i w:val="0"/>
                <w:color w:val="A12D2C"/>
                <w:sz w:val="16"/>
              </w:rPr>
              <w:t>−100 pts ✗</w:t>
            </w:r>
          </w:p>
        </w:tc>
      </w:tr>
      <w:tr>
        <w:tc>
          <w:tcPr>
            <w:tcW w:type="dxa" w:w="2664"/>
          </w:tcPr>
          <w:p>
            <w:pPr>
              <w:keepNext/>
            </w:pPr>
            <w:r>
              <w:rPr>
                <w:b w:val="0"/>
                <w:i w:val="0"/>
                <w:sz w:val="16"/>
              </w:rPr>
              <w:t>ComfortDelGro</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76%</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±2.6%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99%</w:t>
            </w:r>
          </w:p>
        </w:tc>
        <w:tc>
          <w:tcPr>
            <w:tcW w:type="dxa" w:w="2016"/>
            <w:shd w:val="clear" w:color="auto" w:fill="FBE1E0"/>
          </w:tcPr>
          <w:p>
            <w:pPr>
              <w:keepNext/>
            </w:pPr>
            <w:r>
              <w:rPr>
                <w:b/>
                <w:i w:val="0"/>
                <w:color w:val="A12D2C"/>
                <w:sz w:val="16"/>
              </w:rPr>
              <w:t>−100 pts ✗</w:t>
            </w:r>
          </w:p>
        </w:tc>
      </w:tr>
      <w:tr>
        <w:tc>
          <w:tcPr>
            <w:tcW w:type="dxa" w:w="2664"/>
          </w:tcPr>
          <w:p>
            <w:pPr>
              <w:keepNext/>
            </w:pPr>
            <w:r>
              <w:rPr>
                <w:b w:val="0"/>
                <w:i w:val="0"/>
                <w:sz w:val="16"/>
              </w:rPr>
              <w:t>OCBC Bank</w:t>
            </w:r>
          </w:p>
        </w:tc>
        <w:tc>
          <w:tcPr>
            <w:tcW w:type="dxa" w:w="1368"/>
          </w:tcPr>
          <w:p>
            <w:pPr>
              <w:keepNext/>
              <w:jc w:val="right"/>
            </w:pPr>
            <w:r>
              <w:rPr>
                <w:b w:val="0"/>
                <w:i w:val="0"/>
                <w:sz w:val="16"/>
              </w:rPr>
              <w:t>±2.9%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96%</w:t>
            </w:r>
          </w:p>
        </w:tc>
        <w:tc>
          <w:tcPr>
            <w:tcW w:type="dxa" w:w="2016"/>
            <w:shd w:val="clear" w:color="auto" w:fill="E4F3E4"/>
          </w:tcPr>
          <w:p>
            <w:pPr>
              <w:keepNext/>
            </w:pPr>
            <w:r>
              <w:rPr>
                <w:b/>
                <w:i w:val="0"/>
                <w:color w:val="0A6E0A"/>
                <w:sz w:val="16"/>
              </w:rPr>
              <w:t>+100 pts ✓</w:t>
            </w:r>
          </w:p>
        </w:tc>
      </w:tr>
      <w:tr>
        <w:tc>
          <w:tcPr>
            <w:tcW w:type="dxa" w:w="2664"/>
            <w:shd w:val="clear" w:color="auto" w:fill="F7F7F5"/>
          </w:tcPr>
          <w:p>
            <w:pPr>
              <w:keepNext/>
            </w:pPr>
            <w:r>
              <w:rPr>
                <w:b w:val="0"/>
                <w:i w:val="0"/>
                <w:sz w:val="16"/>
              </w:rPr>
              <w:t>Wilmar Intl</w:t>
            </w:r>
          </w:p>
        </w:tc>
        <w:tc>
          <w:tcPr>
            <w:tcW w:type="dxa" w:w="1368"/>
            <w:shd w:val="clear" w:color="auto" w:fill="F7F7F5"/>
          </w:tcPr>
          <w:p>
            <w:pPr>
              <w:keepNext/>
              <w:jc w:val="right"/>
            </w:pPr>
            <w:r>
              <w:rPr>
                <w:b w:val="0"/>
                <w:i w:val="0"/>
                <w:sz w:val="16"/>
              </w:rPr>
              <w:t>±2.9%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97%</w:t>
            </w:r>
          </w:p>
        </w:tc>
        <w:tc>
          <w:tcPr>
            <w:tcW w:type="dxa" w:w="2016"/>
            <w:shd w:val="clear" w:color="auto" w:fill="E4F3E4"/>
          </w:tcPr>
          <w:p>
            <w:pPr>
              <w:keepNext/>
            </w:pPr>
            <w:r>
              <w:rPr>
                <w:b/>
                <w:i w:val="0"/>
                <w:color w:val="0A6E0A"/>
                <w:sz w:val="16"/>
              </w:rPr>
              <w:t>+100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±2.9%</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57%</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±3.1%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97%</w:t>
            </w:r>
          </w:p>
        </w:tc>
        <w:tc>
          <w:tcPr>
            <w:tcW w:type="dxa" w:w="2016"/>
            <w:shd w:val="clear" w:color="auto" w:fill="E4F3E4"/>
          </w:tcPr>
          <w:p>
            <w:pPr>
              <w:keepNext/>
            </w:pPr>
            <w:r>
              <w:rPr>
                <w:b/>
                <w:i w:val="0"/>
                <w:color w:val="0A6E0A"/>
                <w:sz w:val="16"/>
              </w:rPr>
              <w:t>±0 pts ✓</w:t>
            </w:r>
          </w:p>
        </w:tc>
      </w:tr>
      <w:tr>
        <w:tc>
          <w:tcPr>
            <w:tcW w:type="dxa" w:w="2664"/>
          </w:tcPr>
          <w:p>
            <w:r>
              <w:rPr>
                <w:b w:val="0"/>
                <w:i w:val="0"/>
                <w:sz w:val="16"/>
              </w:rPr>
              <w:t>ST Engineering</w:t>
            </w:r>
          </w:p>
        </w:tc>
        <w:tc>
          <w:tcPr>
            <w:tcW w:type="dxa" w:w="1368"/>
          </w:tcPr>
          <w:p>
            <w:pPr>
              <w:jc w:val="right"/>
            </w:pPr>
            <w:r>
              <w:rPr>
                <w:b w:val="0"/>
                <w:i w:val="0"/>
                <w:sz w:val="16"/>
              </w:rPr>
              <w:t>±3.5%</w:t>
            </w:r>
          </w:p>
        </w:tc>
        <w:tc>
          <w:tcPr>
            <w:tcW w:type="dxa" w:w="1440"/>
          </w:tcPr>
          <w:p>
            <w:r>
              <w:rPr>
                <w:b w:val="0"/>
                <w:i w:val="0"/>
                <w:sz w:val="16"/>
              </w:rPr>
            </w:r>
          </w:p>
        </w:tc>
        <w:tc>
          <w:tcPr>
            <w:tcW w:type="dxa" w:w="1440"/>
          </w:tcPr>
          <w:p>
            <w:r>
              <w:rPr>
                <w:b w:val="0"/>
                <w:i w:val="0"/>
                <w:color w:val="A12D2C"/>
                <w:sz w:val="16"/>
              </w:rPr>
              <w:t>Fall</w:t>
            </w:r>
          </w:p>
        </w:tc>
        <w:tc>
          <w:tcPr>
            <w:tcW w:type="dxa" w:w="1008"/>
          </w:tcPr>
          <w:p>
            <w:pPr>
              <w:jc w:val="right"/>
            </w:pPr>
            <w:r>
              <w:rPr>
                <w:b w:val="0"/>
                <w:i w:val="0"/>
                <w:sz w:val="16"/>
              </w:rPr>
              <w:t>99%</w:t>
            </w:r>
          </w:p>
        </w:tc>
        <w:tc>
          <w:tcPr>
            <w:tcW w:type="dxa" w:w="2016"/>
            <w:shd w:val="clear" w:color="auto" w:fill="E4F3E4"/>
          </w:tcPr>
          <w:p>
            <w:r>
              <w:rPr>
                <w:b/>
                <w:i w:val="0"/>
                <w:color w:val="0A6E0A"/>
                <w:sz w:val="16"/>
              </w:rPr>
              <w:t>+100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Raffles Medical Group, Ascendas REIT, Mapletree Industrial, CapitaLand Integ. Comm. Trust and OCBC Bank: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Only 15 live forecasts had matured by this date, too few to quote a record; treat every call as unproven.</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538 company news articles (each read as positive, negative or neutral by FinBERT, a finance language model) and 72 political articles; price-chart indicators (RSI, MACD, Bollinger bands, VWAP, weekly trend); the market backdrop (VIX 14.9, US yield spread); Singapore ETF options positioning (put/call 0.76).</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Dormant (6)</w:t>
            </w:r>
          </w:p>
        </w:tc>
        <w:tc>
          <w:tcPr>
            <w:tcW w:type="dxa" w:w="3312"/>
          </w:tcPr>
          <w:p>
            <w:r>
              <w:rPr>
                <w:b w:val="0"/>
                <w:i w:val="0"/>
                <w:sz w:val="15"/>
              </w:rPr>
              <w:t>DBS Group, OCBC Bank, CapitaLand Integ. Comm. Trust, Ascendas REIT, ComfortDelGro, Raffles Medical Group</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Muted, fading (2)</w:t>
            </w:r>
          </w:p>
        </w:tc>
        <w:tc>
          <w:tcPr>
            <w:tcW w:type="dxa" w:w="3312"/>
            <w:shd w:val="clear" w:color="auto" w:fill="F7F7F5"/>
          </w:tcPr>
          <w:p>
            <w:r>
              <w:rPr>
                <w:b w:val="0"/>
                <w:i w:val="0"/>
                <w:sz w:val="15"/>
              </w:rPr>
              <w:t>Singtel, Keppel Corp</w:t>
            </w:r>
          </w:p>
        </w:tc>
        <w:tc>
          <w:tcPr>
            <w:tcW w:type="dxa" w:w="4824"/>
            <w:shd w:val="clear" w:color="auto" w:fill="F7F7F5"/>
          </w:tcPr>
          <w:p>
            <w:r>
              <w:rPr>
                <w:b w:val="0"/>
                <w:i w:val="0"/>
                <w:sz w:val="15"/>
              </w:rPr>
              <w:t>signals leaned one way, price barely moved; the model expects the opposite</w:t>
            </w:r>
          </w:p>
        </w:tc>
      </w:tr>
      <w:tr>
        <w:tc>
          <w:tcPr>
            <w:tcW w:type="dxa" w:w="1800"/>
          </w:tcPr>
          <w:p>
            <w:r>
              <w:rPr>
                <w:b/>
                <w:i w:val="0"/>
                <w:sz w:val="15"/>
              </w:rPr>
              <w:t>Contradicted (2)</w:t>
            </w:r>
          </w:p>
        </w:tc>
        <w:tc>
          <w:tcPr>
            <w:tcW w:type="dxa" w:w="3312"/>
          </w:tcPr>
          <w:p>
            <w:r>
              <w:rPr>
                <w:b w:val="0"/>
                <w:i w:val="0"/>
                <w:sz w:val="15"/>
              </w:rPr>
              <w:t>ST Engineering, SGX Group</w:t>
            </w:r>
          </w:p>
        </w:tc>
        <w:tc>
          <w:tcPr>
            <w:tcW w:type="dxa" w:w="4824"/>
          </w:tcPr>
          <w:p>
            <w:r>
              <w:rPr>
                <w:b w:val="0"/>
                <w:i w:val="0"/>
                <w:sz w:val="15"/>
              </w:rPr>
              <w:t>price went against the signals and the model agrees with the price</w:t>
            </w:r>
          </w:p>
        </w:tc>
      </w:tr>
      <w:tr>
        <w:tc>
          <w:tcPr>
            <w:tcW w:type="dxa" w:w="1800"/>
            <w:shd w:val="clear" w:color="auto" w:fill="F7F7F5"/>
          </w:tcPr>
          <w:p>
            <w:r>
              <w:rPr>
                <w:b/>
                <w:i w:val="0"/>
                <w:sz w:val="15"/>
              </w:rPr>
              <w:t>Lag (1)</w:t>
            </w:r>
          </w:p>
        </w:tc>
        <w:tc>
          <w:tcPr>
            <w:tcW w:type="dxa" w:w="3312"/>
            <w:shd w:val="clear" w:color="auto" w:fill="F7F7F5"/>
          </w:tcPr>
          <w:p>
            <w:r>
              <w:rPr>
                <w:b w:val="0"/>
                <w:i w:val="0"/>
                <w:sz w:val="15"/>
              </w:rPr>
              <w:t>UOB</w:t>
            </w:r>
          </w:p>
        </w:tc>
        <w:tc>
          <w:tcPr>
            <w:tcW w:type="dxa" w:w="4824"/>
            <w:shd w:val="clear" w:color="auto" w:fill="F7F7F5"/>
          </w:tcPr>
          <w:p>
            <w:r>
              <w:rPr>
                <w:b w:val="0"/>
                <w:i w:val="0"/>
                <w:sz w:val="15"/>
              </w:rPr>
              <w:t>price went against the signals; the model sides with the signals</w:t>
            </w:r>
          </w:p>
        </w:tc>
      </w:tr>
      <w:tr>
        <w:tc>
          <w:tcPr>
            <w:tcW w:type="dxa" w:w="1800"/>
          </w:tcPr>
          <w:p>
            <w:r>
              <w:rPr>
                <w:b/>
                <w:i w:val="0"/>
                <w:sz w:val="15"/>
              </w:rPr>
              <w:t>Momentum (1)</w:t>
            </w:r>
          </w:p>
        </w:tc>
        <w:tc>
          <w:tcPr>
            <w:tcW w:type="dxa" w:w="3312"/>
          </w:tcPr>
          <w:p>
            <w:r>
              <w:rPr>
                <w:b w:val="0"/>
                <w:i w:val="0"/>
                <w:sz w:val="15"/>
              </w:rPr>
              <w:t>Mapletree Pan Asia Comm. Trust</w:t>
            </w:r>
          </w:p>
        </w:tc>
        <w:tc>
          <w:tcPr>
            <w:tcW w:type="dxa" w:w="4824"/>
          </w:tcPr>
          <w:p>
            <w:r>
              <w:rPr>
                <w:b w:val="0"/>
                <w:i w:val="0"/>
                <w:sz w:val="15"/>
              </w:rPr>
              <w:t>news and price agreed; the model expects the move to continue</w:t>
            </w:r>
          </w:p>
        </w:tc>
      </w:tr>
      <w:tr>
        <w:tc>
          <w:tcPr>
            <w:tcW w:type="dxa" w:w="1800"/>
            <w:shd w:val="clear" w:color="auto" w:fill="F7F7F5"/>
          </w:tcPr>
          <w:p>
            <w:r>
              <w:rPr>
                <w:b/>
                <w:i w:val="0"/>
                <w:sz w:val="15"/>
              </w:rPr>
              <w:t>Quiet (1)</w:t>
            </w:r>
          </w:p>
        </w:tc>
        <w:tc>
          <w:tcPr>
            <w:tcW w:type="dxa" w:w="3312"/>
            <w:shd w:val="clear" w:color="auto" w:fill="F7F7F5"/>
          </w:tcPr>
          <w:p>
            <w:r>
              <w:rPr>
                <w:b w:val="0"/>
                <w:i w:val="0"/>
                <w:sz w:val="15"/>
              </w:rPr>
              <w:t>Mapletree Industrial</w:t>
            </w:r>
          </w:p>
        </w:tc>
        <w:tc>
          <w:tcPr>
            <w:tcW w:type="dxa" w:w="4824"/>
            <w:shd w:val="clear" w:color="auto" w:fill="F7F7F5"/>
          </w:tcPr>
          <w:p>
            <w:r>
              <w:rPr>
                <w:b w:val="0"/>
                <w:i w:val="0"/>
                <w:sz w:val="15"/>
              </w:rPr>
              <w:t>no directional signal today</w:t>
            </w:r>
          </w:p>
        </w:tc>
      </w:tr>
      <w:tr>
        <w:tc>
          <w:tcPr>
            <w:tcW w:type="dxa" w:w="1800"/>
          </w:tcPr>
          <w:p>
            <w:r>
              <w:rPr>
                <w:b/>
                <w:i w:val="0"/>
                <w:sz w:val="15"/>
              </w:rPr>
              <w:t>Model-only view (1)</w:t>
            </w:r>
          </w:p>
        </w:tc>
        <w:tc>
          <w:tcPr>
            <w:tcW w:type="dxa" w:w="3312"/>
          </w:tcPr>
          <w:p>
            <w:r>
              <w:rPr>
                <w:b w:val="0"/>
                <w:i w:val="0"/>
                <w:sz w:val="15"/>
              </w:rPr>
              <w:t>Sembcorp Industries</w:t>
            </w:r>
          </w:p>
        </w:tc>
        <w:tc>
          <w:tcPr>
            <w:tcW w:type="dxa" w:w="4824"/>
          </w:tcPr>
          <w:p>
            <w:r>
              <w:rPr>
                <w:b w:val="0"/>
                <w:i w:val="0"/>
                <w:sz w:val="15"/>
              </w:rPr>
              <w:t>signals flat, but the model has a view</w:t>
            </w:r>
          </w:p>
        </w:tc>
      </w:tr>
      <w:tr>
        <w:tc>
          <w:tcPr>
            <w:tcW w:type="dxa" w:w="1800"/>
            <w:shd w:val="clear" w:color="auto" w:fill="F7F7F5"/>
          </w:tcPr>
          <w:p>
            <w:r>
              <w:rPr>
                <w:b/>
                <w:i w:val="0"/>
                <w:sz w:val="15"/>
              </w:rPr>
              <w:t>Muted, pending (1)</w:t>
            </w:r>
          </w:p>
        </w:tc>
        <w:tc>
          <w:tcPr>
            <w:tcW w:type="dxa" w:w="3312"/>
            <w:shd w:val="clear" w:color="auto" w:fill="F7F7F5"/>
          </w:tcPr>
          <w:p>
            <w:r>
              <w:rPr>
                <w:b w:val="0"/>
                <w:i w:val="0"/>
                <w:sz w:val="15"/>
              </w:rPr>
              <w:t>Wilmar Intl</w:t>
            </w:r>
          </w:p>
        </w:tc>
        <w:tc>
          <w:tcPr>
            <w:tcW w:type="dxa" w:w="4824"/>
            <w:shd w:val="clear" w:color="auto" w:fill="F7F7F5"/>
          </w:tcPr>
          <w:p>
            <w:r>
              <w:rPr>
                <w:b w:val="0"/>
                <w:i w:val="0"/>
                <w:sz w:val="15"/>
              </w:rPr>
              <w:t>signals leaned one way, price barely moved; the model still expects that direction</w:t>
            </w:r>
          </w:p>
        </w:tc>
      </w:tr>
    </w:tbl>
    <w:p>
      <w:pPr>
        <w:spacing w:after="40"/>
      </w:pPr>
      <w:r>
        <w:rPr>
          <w:b w:val="0"/>
          <w:i w:val="0"/>
          <w:color w:val="52514E"/>
          <w:sz w:val="15"/>
        </w:rPr>
        <w:t>The other patterns in the 11-pattern engine did not occur today; the full set is defined in the final report, Appendix C. The contradiction check rated 2 of 15 readings strongly mixed (named on the cards) and 13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Only 15 live calls had matured by this date.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Only 15 live calls had matured by this date, too few to compare.</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20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