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Friday 21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17–21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i w:val="0"/>
          <w:color w:val="1A2E55"/>
          <w:sz w:val="19"/>
        </w:rPr>
        <w:t xml:space="preserve">Today. </w:t>
      </w:r>
      <w:r>
        <w:rPr>
          <w:b w:val="0"/>
          <w:i w:val="0"/>
          <w:sz w:val="19"/>
        </w:rPr>
        <w:t>Today the 15 stocks moved +0.4% on average (10 up, 4 down); over 17–21 Aug they moved +0.0%. Weakest: Financial Services (-1.4%), Telecommunications (-1.1%) and Consumer Goods (-0.6%); strongest: Industrials (+1.6%) and REIT (+0.2%).</w:t>
      </w:r>
    </w:p>
    <w:p>
      <w:pPr>
        <w:pStyle w:val="ListBullet"/>
        <w:spacing w:after="40"/>
      </w:pPr>
      <w:r>
        <w:rPr>
          <w:b/>
          <w:i w:val="0"/>
          <w:color w:val="1A2E55"/>
          <w:sz w:val="19"/>
        </w:rPr>
        <w:t xml:space="preserve">Why. </w:t>
      </w:r>
      <w:r>
        <w:rPr>
          <w:b w:val="0"/>
          <w:i w:val="0"/>
          <w:sz w:val="19"/>
        </w:rPr>
        <w:t>Biggest movers over 17–21 Aug: Sembcorp Industries (+5.5%), ST Engineering (-2.1%) and ComfortDelGro (-1.6%). ST Engineering moved more than the market without a company news story. For Sembcorp Industries and ComfortDelGro, the company news and the price disagree. See section 2.</w:t>
      </w:r>
    </w:p>
    <w:p>
      <w:pPr>
        <w:pStyle w:val="ListBullet"/>
        <w:spacing w:after="40"/>
      </w:pPr>
      <w:r>
        <w:rPr>
          <w:b/>
          <w:i w:val="0"/>
          <w:color w:val="1A2E55"/>
          <w:sz w:val="19"/>
        </w:rPr>
        <w:t xml:space="preserve">Backdrop. </w:t>
      </w:r>
      <w:r>
        <w:rPr>
          <w:b w:val="0"/>
          <w:i w:val="0"/>
          <w:sz w:val="19"/>
        </w:rPr>
        <w:t>The market backdrop is normal (VIX 16.0), and Singapore ETF options are neutral (put/call 0.74).</w:t>
      </w:r>
    </w:p>
    <w:p>
      <w:pPr>
        <w:pStyle w:val="ListBullet"/>
        <w:spacing w:after="40"/>
      </w:pPr>
      <w:r>
        <w:rPr>
          <w:b/>
          <w:i w:val="0"/>
          <w:color w:val="1A2E55"/>
          <w:sz w:val="19"/>
        </w:rPr>
        <w:t xml:space="preserve">New today. </w:t>
      </w:r>
      <w:r>
        <w:rPr>
          <w:b w:val="0"/>
          <w:i w:val="0"/>
          <w:sz w:val="19"/>
        </w:rPr>
        <w:t>Today's news added a positive signal for DBS Group (not yet in the price), SGX Group (not yet in the price), OCBC Bank (already in the price), CapitaLand Integ. Comm. Trust (already in the price) and three more. See section 2.</w:t>
      </w:r>
    </w:p>
    <w:p>
      <w:pPr>
        <w:pStyle w:val="ListBullet"/>
        <w:spacing w:after="40"/>
      </w:pPr>
      <w:r>
        <w:rPr>
          <w:b/>
          <w:i w:val="0"/>
          <w:color w:val="1A2E55"/>
          <w:sz w:val="19"/>
        </w:rPr>
        <w:t xml:space="preserve">Next 3 days. </w:t>
      </w:r>
      <w:r>
        <w:rPr>
          <w:b w:val="0"/>
          <w:i w:val="0"/>
          <w:sz w:val="19"/>
        </w:rPr>
        <w:t>The forecast model leans towards a rise for four stocks; a fall for four stocks and no big move for the rest (only six stocks with a ✓ record); normal 3-day swings run from ±0.6% (Mapletree Industrial) to ±3.6% (ST Engineering), so a bigger move than a stock's own swing would be unusual. See section 3.</w:t>
      </w:r>
    </w:p>
    <w:p>
      <w:pPr>
        <w:pStyle w:val="ListBullet"/>
        <w:spacing w:after="40"/>
      </w:pPr>
      <w:r>
        <w:rPr>
          <w:b/>
          <w:i w:val="0"/>
          <w:color w:val="1A2E55"/>
          <w:sz w:val="19"/>
        </w:rPr>
        <w:t xml:space="preserve">For you. </w:t>
      </w:r>
      <w:r>
        <w:rPr>
          <w:b w:val="0"/>
          <w:i w:val="0"/>
          <w:sz w:val="19"/>
        </w:rPr>
        <w:t>Flagged ⚑, with a usable model record: ST Engineering, where today's news gives no signal, but the forecast model leans to a fall; Sembcorp Industries, where today's news gives no signal, but the forecast model leans to a rise; Wilmar Intl, where today's news gives no signal, but the forecast model leans to a rise. Their cards are worth reading first. The moves in ST Engineering came without company news, so sector or market news is the place to check before reacting. If you prefer less day-to-day movement, Ascendas REIT, Mapletree Industrial, Raffles Medical Group, OCBC Bank and CapitaLand Integ. Comm. Trust have the highest chance of no big move.</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No market-wide signal fired today.</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17–21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52514E"/>
                <w:sz w:val="15"/>
              </w:rPr>
              <w:t>+0.2%</w:t>
            </w:r>
          </w:p>
        </w:tc>
        <w:tc>
          <w:tcPr>
            <w:tcW w:type="dxa" w:w="792"/>
          </w:tcPr>
          <w:p>
            <w:pPr>
              <w:jc w:val="right"/>
            </w:pPr>
            <w:r>
              <w:rPr>
                <w:b w:val="0"/>
                <w:i w:val="0"/>
                <w:color w:val="1C5CAB"/>
                <w:sz w:val="15"/>
              </w:rPr>
              <w:t>+0.6%</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52514E"/>
                <w:sz w:val="15"/>
              </w:rPr>
              <w:t>-0.1%</w:t>
            </w:r>
          </w:p>
        </w:tc>
        <w:tc>
          <w:tcPr>
            <w:tcW w:type="dxa" w:w="792"/>
            <w:shd w:val="clear" w:color="auto" w:fill="F7F7F5"/>
          </w:tcPr>
          <w:p>
            <w:pPr>
              <w:jc w:val="right"/>
            </w:pPr>
            <w:r>
              <w:rPr>
                <w:b w:val="0"/>
                <w:i w:val="0"/>
                <w:color w:val="A12D2C"/>
                <w:sz w:val="15"/>
              </w:rPr>
              <w:t>-1.4%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OCBC Bank ★</w:t>
            </w:r>
          </w:p>
        </w:tc>
        <w:tc>
          <w:tcPr>
            <w:tcW w:type="dxa" w:w="662"/>
          </w:tcPr>
          <w:p>
            <w:pPr>
              <w:jc w:val="right"/>
            </w:pPr>
            <w:r>
              <w:rPr>
                <w:b w:val="0"/>
                <w:i w:val="0"/>
                <w:color w:val="1C5CAB"/>
                <w:sz w:val="15"/>
              </w:rPr>
              <w:t>+0.6%</w:t>
            </w:r>
          </w:p>
        </w:tc>
        <w:tc>
          <w:tcPr>
            <w:tcW w:type="dxa" w:w="792"/>
          </w:tcPr>
          <w:p>
            <w:pPr>
              <w:jc w:val="right"/>
            </w:pPr>
            <w:r>
              <w:rPr>
                <w:b w:val="0"/>
                <w:i w:val="0"/>
                <w:color w:val="A12D2C"/>
                <w:sz w:val="15"/>
              </w:rPr>
              <w:t>-1.1%</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Trend turned down · Above avg price</w:t>
            </w:r>
          </w:p>
        </w:tc>
        <w:tc>
          <w:tcPr>
            <w:tcW w:type="dxa" w:w="1642"/>
          </w:tcPr>
          <w:p>
            <w:r>
              <w:rPr>
                <w:b w:val="0"/>
                <w:i w:val="0"/>
                <w:sz w:val="15"/>
              </w:rPr>
              <w:t>Price agreed</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A12D2C"/>
                <w:sz w:val="15"/>
              </w:rPr>
              <w:t>-0.4%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5</w:t>
            </w:r>
          </w:p>
        </w:tc>
        <w:tc>
          <w:tcPr>
            <w:tcW w:type="dxa" w:w="2189"/>
          </w:tcPr>
          <w:p>
            <w:r>
              <w:rPr>
                <w:b w:val="0"/>
                <w:i w:val="0"/>
                <w:sz w:val="15"/>
              </w:rPr>
              <w:t>Ascendas REIT ★</w:t>
            </w:r>
          </w:p>
        </w:tc>
        <w:tc>
          <w:tcPr>
            <w:tcW w:type="dxa" w:w="662"/>
          </w:tcPr>
          <w:p>
            <w:pPr>
              <w:jc w:val="right"/>
            </w:pPr>
            <w:r>
              <w:rPr>
                <w:b w:val="0"/>
                <w:i w:val="0"/>
                <w:color w:val="1C5CAB"/>
                <w:sz w:val="15"/>
              </w:rPr>
              <w:t>+1.2%</w:t>
            </w:r>
          </w:p>
        </w:tc>
        <w:tc>
          <w:tcPr>
            <w:tcW w:type="dxa" w:w="792"/>
          </w:tcPr>
          <w:p>
            <w:pPr>
              <w:jc w:val="right"/>
            </w:pPr>
            <w:r>
              <w:rPr>
                <w:b w:val="0"/>
                <w:i w:val="0"/>
                <w:color w:val="1C5CAB"/>
                <w:sz w:val="15"/>
              </w:rPr>
              <w:t>+0.8%</w:t>
            </w:r>
          </w:p>
        </w:tc>
        <w:tc>
          <w:tcPr>
            <w:tcW w:type="dxa" w:w="1037"/>
            <w:shd w:val="clear" w:color="auto" w:fill="DCEAFB"/>
          </w:tcPr>
          <w:p>
            <w:r>
              <w:rPr>
                <w:b/>
                <w:i w:val="0"/>
                <w:color w:val="1C5CAB"/>
                <w:sz w:val="15"/>
              </w:rPr>
              <w:t>Positive</w:t>
            </w:r>
          </w:p>
        </w:tc>
        <w:tc>
          <w:tcPr>
            <w:tcW w:type="dxa" w:w="1382"/>
          </w:tcPr>
          <w:p>
            <w:r>
              <w:rPr>
                <w:b w:val="0"/>
                <w:i w:val="0"/>
                <w:sz w:val="15"/>
              </w:rPr>
              <w:t>Mostly positive (21)</w:t>
            </w:r>
          </w:p>
        </w:tc>
        <w:tc>
          <w:tcPr>
            <w:tcW w:type="dxa" w:w="1872"/>
          </w:tcPr>
          <w:p>
            <w:r>
              <w:rPr>
                <w:b w:val="0"/>
                <w:i w:val="0"/>
                <w:sz w:val="15"/>
              </w:rPr>
              <w:t>—</w:t>
            </w:r>
          </w:p>
        </w:tc>
        <w:tc>
          <w:tcPr>
            <w:tcW w:type="dxa" w:w="1642"/>
          </w:tcPr>
          <w:p>
            <w:r>
              <w:rPr>
                <w:b w:val="0"/>
                <w:i w:val="0"/>
                <w:sz w:val="15"/>
              </w:rPr>
              <w:t>Price agreed</w:t>
            </w:r>
          </w:p>
        </w:tc>
      </w:tr>
      <w:tr>
        <w:tc>
          <w:tcPr>
            <w:tcW w:type="dxa" w:w="360"/>
            <w:shd w:val="clear" w:color="auto" w:fill="F7F7F5"/>
          </w:tcPr>
          <w:p>
            <w:r>
              <w:rPr>
                <w:b w:val="0"/>
                <w:i w:val="0"/>
                <w:sz w:val="15"/>
              </w:rPr>
              <w:t>6</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52514E"/>
                <w:sz w:val="15"/>
              </w:rPr>
              <w:t>-0.1%</w:t>
            </w:r>
          </w:p>
        </w:tc>
        <w:tc>
          <w:tcPr>
            <w:tcW w:type="dxa" w:w="792"/>
            <w:shd w:val="clear" w:color="auto" w:fill="F7F7F5"/>
          </w:tcPr>
          <w:p>
            <w:pPr>
              <w:jc w:val="right"/>
            </w:pPr>
            <w:r>
              <w:rPr>
                <w:b w:val="0"/>
                <w:i w:val="0"/>
                <w:color w:val="A12D2C"/>
                <w:sz w:val="15"/>
              </w:rPr>
              <w:t>-1.6%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(46)</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Keppel Corp ★</w:t>
            </w:r>
          </w:p>
        </w:tc>
        <w:tc>
          <w:tcPr>
            <w:tcW w:type="dxa" w:w="662"/>
          </w:tcPr>
          <w:p>
            <w:pPr>
              <w:jc w:val="right"/>
            </w:pPr>
            <w:r>
              <w:rPr>
                <w:b w:val="0"/>
                <w:i w:val="0"/>
                <w:color w:val="1C5CAB"/>
                <w:sz w:val="15"/>
              </w:rPr>
              <w:t>+0.4%</w:t>
            </w:r>
          </w:p>
        </w:tc>
        <w:tc>
          <w:tcPr>
            <w:tcW w:type="dxa" w:w="792"/>
          </w:tcPr>
          <w:p>
            <w:pPr>
              <w:jc w:val="right"/>
            </w:pPr>
            <w:r>
              <w:rPr>
                <w:b w:val="0"/>
                <w:i w:val="0"/>
                <w:color w:val="1C5CAB"/>
                <w:sz w:val="15"/>
              </w:rPr>
              <w:t>+1.3%</w:t>
            </w:r>
          </w:p>
        </w:tc>
        <w:tc>
          <w:tcPr>
            <w:tcW w:type="dxa" w:w="1037"/>
            <w:shd w:val="clear" w:color="auto" w:fill="DCEAFB"/>
          </w:tcPr>
          <w:p>
            <w:r>
              <w:rPr>
                <w:b/>
                <w:i w:val="0"/>
                <w:color w:val="1C5CAB"/>
                <w:sz w:val="15"/>
              </w:rPr>
              <w:t>Positive</w:t>
            </w:r>
          </w:p>
        </w:tc>
        <w:tc>
          <w:tcPr>
            <w:tcW w:type="dxa" w:w="1382"/>
          </w:tcPr>
          <w:p>
            <w:r>
              <w:rPr>
                <w:b w:val="0"/>
                <w:i w:val="0"/>
                <w:sz w:val="15"/>
              </w:rPr>
              <w:t>Mostly positive (31)</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A12D2C"/>
                <w:sz w:val="15"/>
              </w:rPr>
              <w:t>-1.0%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9</w:t>
            </w:r>
          </w:p>
        </w:tc>
        <w:tc>
          <w:tcPr>
            <w:tcW w:type="dxa" w:w="2189"/>
          </w:tcPr>
          <w:p>
            <w:r>
              <w:rPr>
                <w:b w:val="0"/>
                <w:i w:val="0"/>
                <w:sz w:val="15"/>
              </w:rPr>
              <w:t>Singtel ★</w:t>
            </w:r>
          </w:p>
        </w:tc>
        <w:tc>
          <w:tcPr>
            <w:tcW w:type="dxa" w:w="662"/>
          </w:tcPr>
          <w:p>
            <w:pPr>
              <w:jc w:val="right"/>
            </w:pPr>
            <w:r>
              <w:rPr>
                <w:b w:val="0"/>
                <w:i w:val="0"/>
                <w:color w:val="A12D2C"/>
                <w:sz w:val="15"/>
              </w:rPr>
              <w:t>-1.1%</w:t>
            </w:r>
          </w:p>
        </w:tc>
        <w:tc>
          <w:tcPr>
            <w:tcW w:type="dxa" w:w="792"/>
          </w:tcPr>
          <w:p>
            <w:pPr>
              <w:jc w:val="right"/>
            </w:pPr>
            <w:r>
              <w:rPr>
                <w:b w:val="0"/>
                <w:i w:val="0"/>
                <w:color w:val="A12D2C"/>
                <w:sz w:val="15"/>
              </w:rPr>
              <w:t>-1.1%</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ST Engineering ★ ⚑</w:t>
            </w:r>
          </w:p>
        </w:tc>
        <w:tc>
          <w:tcPr>
            <w:tcW w:type="dxa" w:w="662"/>
            <w:shd w:val="clear" w:color="auto" w:fill="F7F7F5"/>
          </w:tcPr>
          <w:p>
            <w:pPr>
              <w:jc w:val="right"/>
            </w:pPr>
            <w:r>
              <w:rPr>
                <w:b w:val="0"/>
                <w:i w:val="0"/>
                <w:color w:val="A12D2C"/>
                <w:sz w:val="15"/>
              </w:rPr>
              <w:t>-1.1%</w:t>
            </w:r>
          </w:p>
        </w:tc>
        <w:tc>
          <w:tcPr>
            <w:tcW w:type="dxa" w:w="792"/>
            <w:shd w:val="clear" w:color="auto" w:fill="F7F7F5"/>
          </w:tcPr>
          <w:p>
            <w:pPr>
              <w:jc w:val="right"/>
            </w:pPr>
            <w:r>
              <w:rPr>
                <w:b w:val="0"/>
                <w:i w:val="0"/>
                <w:color w:val="A12D2C"/>
                <w:sz w:val="15"/>
              </w:rPr>
              <w:t>-2.1%</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(47)</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11</w:t>
            </w:r>
          </w:p>
        </w:tc>
        <w:tc>
          <w:tcPr>
            <w:tcW w:type="dxa" w:w="2189"/>
          </w:tcPr>
          <w:p>
            <w:r>
              <w:rPr>
                <w:b w:val="0"/>
                <w:i w:val="0"/>
                <w:sz w:val="15"/>
              </w:rPr>
              <w:t>Raffles Medical Group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Mixed (23)</w:t>
            </w:r>
          </w:p>
        </w:tc>
        <w:tc>
          <w:tcPr>
            <w:tcW w:type="dxa" w:w="1872"/>
          </w:tcPr>
          <w:p>
            <w:r>
              <w:rPr>
                <w:b w:val="0"/>
                <w:i w:val="0"/>
                <w:sz w:val="15"/>
              </w:rPr>
              <w:t>Weekly down · Trend turned up</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Sembcorp Industries ★ ⚑</w:t>
            </w:r>
          </w:p>
        </w:tc>
        <w:tc>
          <w:tcPr>
            <w:tcW w:type="dxa" w:w="662"/>
            <w:shd w:val="clear" w:color="auto" w:fill="F7F7F5"/>
          </w:tcPr>
          <w:p>
            <w:pPr>
              <w:jc w:val="right"/>
            </w:pPr>
            <w:r>
              <w:rPr>
                <w:b w:val="0"/>
                <w:i w:val="0"/>
                <w:color w:val="1C5CAB"/>
                <w:sz w:val="15"/>
              </w:rPr>
              <w:t>+1.7%</w:t>
            </w:r>
          </w:p>
        </w:tc>
        <w:tc>
          <w:tcPr>
            <w:tcW w:type="dxa" w:w="792"/>
            <w:shd w:val="clear" w:color="auto" w:fill="F7F7F5"/>
          </w:tcPr>
          <w:p>
            <w:pPr>
              <w:jc w:val="right"/>
            </w:pPr>
            <w:r>
              <w:rPr>
                <w:b w:val="0"/>
                <w:i w:val="0"/>
                <w:color w:val="1C5CAB"/>
                <w:sz w:val="15"/>
              </w:rPr>
              <w:t>+5.5%</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(28)</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13</w:t>
            </w:r>
          </w:p>
        </w:tc>
        <w:tc>
          <w:tcPr>
            <w:tcW w:type="dxa" w:w="2189"/>
          </w:tcPr>
          <w:p>
            <w:r>
              <w:rPr>
                <w:b w:val="0"/>
                <w:i w:val="0"/>
                <w:sz w:val="15"/>
              </w:rPr>
              <w:t>Wilmar Intl ★ ⚑</w:t>
            </w:r>
          </w:p>
        </w:tc>
        <w:tc>
          <w:tcPr>
            <w:tcW w:type="dxa" w:w="662"/>
          </w:tcPr>
          <w:p>
            <w:pPr>
              <w:jc w:val="right"/>
            </w:pPr>
            <w:r>
              <w:rPr>
                <w:b w:val="0"/>
                <w:i w:val="0"/>
                <w:color w:val="1C5CAB"/>
                <w:sz w:val="15"/>
              </w:rPr>
              <w:t>+1.4%</w:t>
            </w:r>
          </w:p>
        </w:tc>
        <w:tc>
          <w:tcPr>
            <w:tcW w:type="dxa" w:w="792"/>
          </w:tcPr>
          <w:p>
            <w:pPr>
              <w:jc w:val="right"/>
            </w:pPr>
            <w:r>
              <w:rPr>
                <w:b w:val="0"/>
                <w:i w:val="0"/>
                <w:color w:val="52514E"/>
                <w:sz w:val="15"/>
              </w:rPr>
              <w:t>+0.3%</w:t>
            </w:r>
          </w:p>
        </w:tc>
        <w:tc>
          <w:tcPr>
            <w:tcW w:type="dxa" w:w="1037"/>
            <w:shd w:val="clear" w:color="auto" w:fill="EFEEEA"/>
          </w:tcPr>
          <w:p>
            <w:r>
              <w:rPr>
                <w:b/>
                <w:i w:val="0"/>
                <w:color w:val="52514E"/>
                <w:sz w:val="15"/>
              </w:rPr>
              <w:t>Neutral</w:t>
            </w:r>
          </w:p>
        </w:tc>
        <w:tc>
          <w:tcPr>
            <w:tcW w:type="dxa" w:w="1382"/>
          </w:tcPr>
          <w:p>
            <w:r>
              <w:rPr>
                <w:b w:val="0"/>
                <w:i w:val="0"/>
                <w:sz w:val="15"/>
              </w:rPr>
              <w:t>Mostly negative (24)</w:t>
            </w:r>
          </w:p>
        </w:tc>
        <w:tc>
          <w:tcPr>
            <w:tcW w:type="dxa" w:w="1872"/>
          </w:tcPr>
          <w:p>
            <w:r>
              <w:rPr>
                <w:b w:val="0"/>
                <w:i w:val="0"/>
                <w:sz w:val="15"/>
              </w:rPr>
              <w:t>Above avg price</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Mapletree Pan Asia Comm. Trust ★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(21)</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1C5CAB"/>
                <w:sz w:val="15"/>
              </w:rPr>
              <w:t>+0.5%</w:t>
            </w:r>
          </w:p>
        </w:tc>
        <w:tc>
          <w:tcPr>
            <w:tcW w:type="dxa" w:w="792"/>
          </w:tcPr>
          <w:p>
            <w:pPr>
              <w:jc w:val="right"/>
            </w:pPr>
            <w:r>
              <w:rPr>
                <w:b w:val="0"/>
                <w:i w:val="0"/>
                <w:color w:val="1C5CAB"/>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(22)</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(4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17–21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21.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ST Engineering</w:t>
            </w:r>
            <w:r>
              <w:rPr>
                <w:b w:val="0"/>
                <w:i w:val="0"/>
                <w:color w:val="52514E"/>
                <w:sz w:val="17"/>
              </w:rPr>
              <w:t xml:space="preserve">   Industrials  ·  -2.1% over 17–21 Aug</w:t>
            </w:r>
          </w:p>
          <w:p>
            <w:pPr>
              <w:spacing w:after="10" w:line="240" w:lineRule="auto"/>
            </w:pPr>
            <w:r>
              <w:rPr>
                <w:b/>
                <w:i w:val="0"/>
                <w:color w:val="1A2E55"/>
                <w:sz w:val="16"/>
              </w:rPr>
              <w:t xml:space="preserve">In short (AI-written, checked)  </w:t>
            </w:r>
            <w:r>
              <w:rPr>
                <w:b w:val="0"/>
                <w:i w:val="0"/>
                <w:sz w:val="16"/>
              </w:rPr>
              <w:t>ST Engineering fell 2.1% over 17–21 Aug. The news-and-signals reading was neutral and did not clearly explain the move. The forecast model expects a fall, but its record is only a weak signal.</w:t>
            </w:r>
          </w:p>
          <w:p>
            <w:pPr>
              <w:spacing w:after="10" w:line="240" w:lineRule="auto"/>
            </w:pPr>
            <w:r>
              <w:rPr>
                <w:b/>
                <w:i w:val="0"/>
                <w:color w:val="1A2E55"/>
                <w:sz w:val="16"/>
              </w:rPr>
              <w:t xml:space="preserve">What happened  </w:t>
            </w:r>
            <w:r>
              <w:rPr>
                <w:b w:val="0"/>
                <w:i w:val="0"/>
                <w:sz w:val="16"/>
              </w:rPr>
              <w:t>Fell 2.1% over 17–21 Aug, most of it on Wed 19 Aug (-1.9%). Today -1.1%.</w:t>
            </w:r>
          </w:p>
          <w:p>
            <w:pPr>
              <w:spacing w:after="10" w:line="240" w:lineRule="auto"/>
            </w:pPr>
            <w:r>
              <w:rPr>
                <w:b/>
                <w:i w:val="0"/>
                <w:color w:val="1A2E55"/>
                <w:sz w:val="16"/>
              </w:rPr>
              <w:t xml:space="preserve">Today: news vs price  </w:t>
            </w:r>
            <w:r>
              <w:rPr>
                <w:b w:val="0"/>
                <w:i w:val="0"/>
                <w:sz w:val="16"/>
              </w:rPr>
              <w:t>No news signal today (neutral reading); the price fell 1.1%, more than a normal day's ±0.6%: a move without a news signal. The forecast model still leans 'fall'.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fell 2.1% over 17–21 Aug, its 2 sector peers +3.4% on average, and the 15 stocks +0.0%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47 articles collected today: 18 positive, 12 negative, 17 neutral (mixed). Event tags: dividend, earnings, merger or acquisition, management change.</w:t>
            </w:r>
          </w:p>
          <w:p>
            <w:pPr>
              <w:spacing w:after="10" w:line="240" w:lineRule="auto"/>
            </w:pPr>
            <w:r>
              <w:rPr>
                <w:b/>
                <w:i w:val="0"/>
                <w:color w:val="1A2E55"/>
                <w:sz w:val="16"/>
              </w:rPr>
              <w:t xml:space="preserve">Headlines  </w:t>
            </w:r>
            <w:r>
              <w:rPr>
                <w:b w:val="0"/>
                <w:i w:val="0"/>
                <w:sz w:val="16"/>
              </w:rPr>
              <w:t>+ “Genting, Sembcorp, ST Engineering: Top Blue-Chip Stocks to Watch This Week” (The Smart Investor, 11 Aug)   − “Wall St opens lower as bond yields climb” (Business Times, 20 Aug)</w:t>
            </w:r>
          </w:p>
          <w:p>
            <w:pPr>
              <w:spacing w:after="10" w:line="240" w:lineRule="auto"/>
            </w:pPr>
            <w:r>
              <w:rPr>
                <w:b/>
                <w:i w:val="0"/>
                <w:color w:val="1A2E55"/>
                <w:sz w:val="16"/>
              </w:rPr>
              <w:t xml:space="preserve">Price chart  </w:t>
            </w:r>
            <w:r>
              <w:rPr>
                <w:b w:val="0"/>
                <w:i w:val="0"/>
                <w:sz w:val="16"/>
              </w:rPr>
              <w:t>RSI 50, between 30 and 70: no unusually fast move.</w:t>
            </w:r>
          </w:p>
          <w:p>
            <w:pPr>
              <w:spacing w:after="10" w:line="240" w:lineRule="auto"/>
            </w:pPr>
            <w:r>
              <w:rPr>
                <w:b/>
                <w:i w:val="0"/>
                <w:color w:val="1A2E55"/>
                <w:sz w:val="16"/>
              </w:rPr>
              <w:t xml:space="preserve">News &amp; signals reading  </w:t>
            </w:r>
            <w:r>
              <w:rPr>
                <w:b w:val="0"/>
                <w:i w:val="0"/>
                <w:sz w:val="16"/>
              </w:rPr>
              <w:t>Neutral today (score +0.21; positive above +0.35, negative below −0.35), and on 1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Market-wide: political news +0.01 (unreliable, section 5).</w:t>
            </w:r>
          </w:p>
          <w:p>
            <w:pPr>
              <w:spacing w:after="10" w:line="240" w:lineRule="auto"/>
            </w:pPr>
            <w:r>
              <w:rPr>
                <w:b/>
                <w:i w:val="0"/>
                <w:color w:val="1A2E55"/>
                <w:sz w:val="16"/>
              </w:rPr>
              <w:t xml:space="preserve">AI summary of the evidence (checked)  </w:t>
            </w:r>
            <w:r>
              <w:rPr>
                <w:b w:val="0"/>
                <w:i w:val="0"/>
                <w:sz w:val="16"/>
              </w:rPr>
              <w:t>ST Engineering's outlook remains neutral as rule‑based analysis balances a positive geopolitical backdrop and positive corporate events against a decisive negative signal from elevated political news volume. ML-model contributions highlight RSI momentum (+0.095) and weekly trend confirmation (-0.099) as key drivers, while political news tone (-0.344) and volume (-0.091) reinforce the negative tilt. Recent headlines such as the Iran war risk and rising bond yields add macro‑risk pressure, yet the company’s strong order book and dividend policy provide support. Though machine‑learning models predict a negative move, the rule‑based framework and recent corporate positives keep the stance neutral. Overall, the market sentiment is mixed, with no clear directional bias.</w:t>
            </w:r>
          </w:p>
          <w:p>
            <w:pPr>
              <w:spacing w:after="10" w:line="240" w:lineRule="auto"/>
            </w:pPr>
            <w:r>
              <w:rPr>
                <w:b/>
                <w:i w:val="0"/>
                <w:color w:val="1A2E55"/>
                <w:sz w:val="16"/>
              </w:rPr>
              <w:t xml:space="preserve">Forecast lean  </w:t>
            </w:r>
            <w:r>
              <w:rPr>
                <w:b w:val="0"/>
                <w:i w:val="0"/>
                <w:sz w:val="16"/>
              </w:rPr>
              <w:t>Fall over the next 3 trading days (chance 96%); its normal 3-day swing is ±3.6%. Past record on this stock: ✓, but rise-or-fall calls marked ✓ were right only 38%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Sembcorp Industries</w:t>
            </w:r>
            <w:r>
              <w:rPr>
                <w:b w:val="0"/>
                <w:i w:val="0"/>
                <w:color w:val="52514E"/>
                <w:sz w:val="17"/>
              </w:rPr>
              <w:t xml:space="preserve">   Industrials  ·  +5.5% over 17–21 Aug</w:t>
            </w:r>
          </w:p>
          <w:p>
            <w:pPr>
              <w:spacing w:after="10" w:line="240" w:lineRule="auto"/>
            </w:pPr>
            <w:r>
              <w:rPr>
                <w:b/>
                <w:i w:val="0"/>
                <w:color w:val="1A2E55"/>
                <w:sz w:val="16"/>
              </w:rPr>
              <w:t xml:space="preserve">In short (AI-written, checked)  </w:t>
            </w:r>
            <w:r>
              <w:rPr>
                <w:b w:val="0"/>
                <w:i w:val="0"/>
                <w:sz w:val="16"/>
              </w:rPr>
              <w:t>Sembcorp Industries rose 5.5% over 17–21 Aug. The news-and-signals reading was neutral and did not explain the move. The forecast model expects a rise, but its record is only a weak signal.</w:t>
            </w:r>
          </w:p>
          <w:p>
            <w:pPr>
              <w:spacing w:after="10" w:line="240" w:lineRule="auto"/>
            </w:pPr>
            <w:r>
              <w:rPr>
                <w:b/>
                <w:i w:val="0"/>
                <w:color w:val="1A2E55"/>
                <w:sz w:val="16"/>
              </w:rPr>
              <w:t xml:space="preserve">What happened  </w:t>
            </w:r>
            <w:r>
              <w:rPr>
                <w:b w:val="0"/>
                <w:i w:val="0"/>
                <w:sz w:val="16"/>
              </w:rPr>
              <w:t>Rose 5.5% over 17–21 Aug; its biggest day was Mon 17 Aug (+2.4%). Today +1.7%.</w:t>
            </w:r>
          </w:p>
          <w:p>
            <w:pPr>
              <w:spacing w:after="10" w:line="240" w:lineRule="auto"/>
            </w:pPr>
            <w:r>
              <w:rPr>
                <w:b/>
                <w:i w:val="0"/>
                <w:color w:val="1A2E55"/>
                <w:sz w:val="16"/>
              </w:rPr>
              <w:t xml:space="preserve">Today: news vs price  </w:t>
            </w:r>
            <w:r>
              <w:rPr>
                <w:b w:val="0"/>
                <w:i w:val="0"/>
                <w:sz w:val="16"/>
              </w:rPr>
              <w:t>No news signal today (neutral reading); the price rose 1.7%, more than a normal day's ±0.6%: a move without a news signal.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mostly negative; the price rose 5.5% over 17–21 Aug, its 2 sector peers -0.4% on average, and the 15 stocks +0.0% on average. So the company news and the price disagree.</w:t>
            </w:r>
          </w:p>
          <w:p>
            <w:pPr>
              <w:spacing w:after="10" w:line="240" w:lineRule="auto"/>
            </w:pPr>
            <w:r>
              <w:rPr>
                <w:b/>
                <w:i w:val="0"/>
                <w:color w:val="1A2E55"/>
                <w:sz w:val="16"/>
              </w:rPr>
              <w:t xml:space="preserve">News today  </w:t>
            </w:r>
            <w:r>
              <w:rPr>
                <w:b w:val="0"/>
                <w:i w:val="0"/>
                <w:sz w:val="16"/>
              </w:rPr>
              <w:t>28 articles collected today: 2 positive, 8 negative, 18 neutral (mostly negative). Event tags: dividend, earnings, merger or acquisition.</w:t>
            </w:r>
          </w:p>
          <w:p>
            <w:pPr>
              <w:spacing w:after="10" w:line="240" w:lineRule="auto"/>
            </w:pPr>
            <w:r>
              <w:rPr>
                <w:b/>
                <w:i w:val="0"/>
                <w:color w:val="1A2E55"/>
                <w:sz w:val="16"/>
              </w:rPr>
              <w:t xml:space="preserve">Price chart  </w:t>
            </w:r>
            <w:r>
              <w:rPr>
                <w:b w:val="0"/>
                <w:i w:val="0"/>
                <w:sz w:val="16"/>
              </w:rPr>
              <w:t>RSI 66,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Neutral today (score +0.02; positive above +0.35, negative below −0.35), and on 2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above average price +0.02. Down: negative company news −0.22. Market-wide: political news +0.01 (unreliable, section 5).</w:t>
            </w:r>
          </w:p>
          <w:p>
            <w:pPr>
              <w:spacing w:after="10" w:line="240" w:lineRule="auto"/>
            </w:pPr>
            <w:r>
              <w:rPr>
                <w:b/>
                <w:i w:val="0"/>
                <w:color w:val="1A2E55"/>
                <w:sz w:val="16"/>
              </w:rPr>
              <w:t xml:space="preserve">AI summary of the evidence (checked)  </w:t>
            </w:r>
            <w:r>
              <w:rPr>
                <w:b w:val="0"/>
                <w:i w:val="0"/>
                <w:sz w:val="16"/>
              </w:rPr>
              <w:t>Rule‑based analysis rates Sembcorp Industries as neutral, with a balanced mix of positive drivers such as a positive geopolitical backdrop, three positive corporate events, and a price above VWAP, offset by negative factors like elevated political news volume and negative company news sentiment. ML-model explanations from both LogReg and RandomForest models reinforce a negative bias, citing political news tone, RSI momentum, and political news volume as key negative contributors. Despite the ML models’ negative consensus, the overall outlook remains neutral because the rule‑based signals are evenly split and macro conditions are unchanged. Recent headlines – the 13% revenue miss and the profit slowdown narrative – add downside risk, while the company’s strong dividend history and recent share price gains provide some support.</w:t>
            </w:r>
          </w:p>
          <w:p>
            <w:pPr>
              <w:spacing w:after="10" w:line="240" w:lineRule="auto"/>
            </w:pPr>
            <w:r>
              <w:rPr>
                <w:b/>
                <w:i w:val="0"/>
                <w:color w:val="1A2E55"/>
                <w:sz w:val="16"/>
              </w:rPr>
              <w:t xml:space="preserve">Forecast lean  </w:t>
            </w:r>
            <w:r>
              <w:rPr>
                <w:b w:val="0"/>
                <w:i w:val="0"/>
                <w:sz w:val="16"/>
              </w:rPr>
              <w:t>Rise over the next 3 trading days (chance 67%); its normal 3-day swing is ±2.6%. Past record on this stock: ✓, but rise-or-fall calls marked ✓ were right only 38%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Wilmar International</w:t>
            </w:r>
            <w:r>
              <w:rPr>
                <w:b w:val="0"/>
                <w:i w:val="0"/>
                <w:color w:val="52514E"/>
                <w:sz w:val="17"/>
              </w:rPr>
              <w:t xml:space="preserve">   Consumer Goods  ·  +0.3% over 17–21 Aug</w:t>
            </w:r>
          </w:p>
          <w:p>
            <w:pPr>
              <w:spacing w:after="10" w:line="240" w:lineRule="auto"/>
            </w:pPr>
            <w:r>
              <w:rPr>
                <w:b/>
                <w:i w:val="0"/>
                <w:color w:val="1A2E55"/>
                <w:sz w:val="16"/>
              </w:rPr>
              <w:t xml:space="preserve">In short (AI-written, checked)  </w:t>
            </w:r>
            <w:r>
              <w:rPr>
                <w:b w:val="0"/>
                <w:i w:val="0"/>
                <w:sz w:val="16"/>
              </w:rPr>
              <w:t>Wilmar International rose 0.3% over 17–21 Aug. The news-and-signals reading was neutral and the move barely moved. The forecast model expects a rise, but its record is only a weak signal.</w:t>
            </w:r>
          </w:p>
          <w:p>
            <w:pPr>
              <w:spacing w:after="10" w:line="240" w:lineRule="auto"/>
            </w:pPr>
            <w:r>
              <w:rPr>
                <w:b/>
                <w:i w:val="0"/>
                <w:color w:val="1A2E55"/>
                <w:sz w:val="16"/>
              </w:rPr>
              <w:t xml:space="preserve">What happened  </w:t>
            </w:r>
            <w:r>
              <w:rPr>
                <w:b w:val="0"/>
                <w:i w:val="0"/>
                <w:sz w:val="16"/>
              </w:rPr>
              <w:t>Rose 0.3% over 17–21 Aug; its biggest day was Mon 17 Aug (-2.1%). Today +1.4%.</w:t>
            </w:r>
          </w:p>
          <w:p>
            <w:pPr>
              <w:spacing w:after="10" w:line="240" w:lineRule="auto"/>
            </w:pPr>
            <w:r>
              <w:rPr>
                <w:b/>
                <w:i w:val="0"/>
                <w:color w:val="1A2E55"/>
                <w:sz w:val="16"/>
              </w:rPr>
              <w:t xml:space="preserve">Today: news vs price  </w:t>
            </w:r>
            <w:r>
              <w:rPr>
                <w:b w:val="0"/>
                <w:i w:val="0"/>
                <w:sz w:val="16"/>
              </w:rPr>
              <w:t>No news signal today (neutral reading); the price rose 1.4%, more than a normal day's ±0.6%: a move without a news signal.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mostly negative; the price rose 0.3% over 17–21 Aug, its sector peer ComfortDelGro -1.6%, and the 15 stocks +0.0% on average. So it barely moved over the period.</w:t>
            </w:r>
          </w:p>
          <w:p>
            <w:pPr>
              <w:spacing w:after="10" w:line="240" w:lineRule="auto"/>
            </w:pPr>
            <w:r>
              <w:rPr>
                <w:b/>
                <w:i w:val="0"/>
                <w:color w:val="1A2E55"/>
                <w:sz w:val="16"/>
              </w:rPr>
              <w:t xml:space="preserve">News today  </w:t>
            </w:r>
            <w:r>
              <w:rPr>
                <w:b w:val="0"/>
                <w:i w:val="0"/>
                <w:sz w:val="16"/>
              </w:rPr>
              <w:t>24 articles collected today: 2 positive, 6 negative, 16 neutral (mostly negative). Event tags: dividend, earnings, merger or acquisition, upgrade.</w:t>
            </w:r>
          </w:p>
          <w:p>
            <w:pPr>
              <w:spacing w:after="10" w:line="240" w:lineRule="auto"/>
            </w:pPr>
            <w:r>
              <w:rPr>
                <w:b/>
                <w:i w:val="0"/>
                <w:color w:val="1A2E55"/>
                <w:sz w:val="16"/>
              </w:rPr>
              <w:t xml:space="preserve">Headlines  </w:t>
            </w:r>
            <w:r>
              <w:rPr>
                <w:b w:val="0"/>
                <w:i w:val="0"/>
                <w:sz w:val="16"/>
              </w:rPr>
              <w:t>− “Wilmar International (SGX:F34) Stock Price Drifts As Thin Margins Cloud Value Gap” (simplywall.st, 13 Aug)</w:t>
            </w:r>
          </w:p>
          <w:p>
            <w:pPr>
              <w:spacing w:after="10" w:line="240" w:lineRule="auto"/>
            </w:pPr>
            <w:r>
              <w:rPr>
                <w:b/>
                <w:i w:val="0"/>
                <w:color w:val="1A2E55"/>
                <w:sz w:val="16"/>
              </w:rPr>
              <w:t xml:space="preserve">Price chart  </w:t>
            </w:r>
            <w:r>
              <w:rPr>
                <w:b w:val="0"/>
                <w:i w:val="0"/>
                <w:sz w:val="16"/>
              </w:rPr>
              <w:t>RSI 49,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Neutral today (score +0.02; positive above +0.35, negative below −0.35), and on 2 of the 4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above average price +0.02. Down: negative company news −0.22. Market-wide: political news +0.01 (unreliable, section 5).</w:t>
            </w:r>
          </w:p>
          <w:p>
            <w:pPr>
              <w:spacing w:after="10" w:line="240" w:lineRule="auto"/>
            </w:pPr>
            <w:r>
              <w:rPr>
                <w:b/>
                <w:i w:val="0"/>
                <w:color w:val="1A2E55"/>
                <w:sz w:val="16"/>
              </w:rPr>
              <w:t xml:space="preserve">AI summary of the evidence (checked)  </w:t>
            </w:r>
            <w:r>
              <w:rPr>
                <w:b w:val="0"/>
                <w:i w:val="0"/>
                <w:sz w:val="16"/>
              </w:rPr>
              <w:t>Wilmar International's outlook remains neutral as rule‑based analysis balances positive geopolitical backdrop and corporate events against negative political news volume and negative company headlines. The stock is trading above VWAP and shows modest positive momentum from RSI, yet political news tone and volume exert a net negative pull, reflected in both ML-model and rule‑based signals. Recent headlines – such as the 0.9% dip linked to palm oil futures and the legal‑corruption case in Indonesia – underscore the company‑specific downside risk. Macro headlines about a potential recession in Iran and cooling Fed rate expectations add further uncertainty.</w:t>
            </w:r>
          </w:p>
          <w:p>
            <w:pPr>
              <w:spacing w:after="10" w:line="240" w:lineRule="auto"/>
            </w:pPr>
            <w:r>
              <w:rPr>
                <w:b/>
                <w:i w:val="0"/>
                <w:color w:val="1A2E55"/>
                <w:sz w:val="16"/>
              </w:rPr>
              <w:t xml:space="preserve">Forecast lean  </w:t>
            </w:r>
            <w:r>
              <w:rPr>
                <w:b w:val="0"/>
                <w:i w:val="0"/>
                <w:sz w:val="16"/>
              </w:rPr>
              <w:t>Rise over the next 3 trading days (chance 95%); its normal 3-day swing is ±2.9%. Past record on this stock: ✓, but rise-or-fall calls marked ✓ were right only 38% in testing, so treat the direction as unknown.</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±0.6%</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92%</w:t>
            </w:r>
          </w:p>
        </w:tc>
        <w:tc>
          <w:tcPr>
            <w:tcW w:type="dxa" w:w="2016"/>
            <w:shd w:val="clear" w:color="auto" w:fill="FBE1E0"/>
          </w:tcPr>
          <w:p>
            <w:pPr>
              <w:keepNext/>
            </w:pPr>
            <w:r>
              <w:rPr>
                <w:b/>
                <w:i w:val="0"/>
                <w:color w:val="A12D2C"/>
                <w:sz w:val="16"/>
              </w:rPr>
              <w:t>−50 pts ✗</w:t>
            </w:r>
          </w:p>
        </w:tc>
      </w:tr>
      <w:tr>
        <w:tc>
          <w:tcPr>
            <w:tcW w:type="dxa" w:w="2664"/>
          </w:tcPr>
          <w:p>
            <w:pPr>
              <w:keepNext/>
            </w:pPr>
            <w:r>
              <w:rPr>
                <w:b w:val="0"/>
                <w:i w:val="0"/>
                <w:sz w:val="16"/>
              </w:rPr>
              <w:t>Ascendas REIT</w:t>
            </w:r>
          </w:p>
        </w:tc>
        <w:tc>
          <w:tcPr>
            <w:tcW w:type="dxa" w:w="1368"/>
          </w:tcPr>
          <w:p>
            <w:pPr>
              <w:keepNext/>
              <w:jc w:val="right"/>
            </w:pPr>
            <w:r>
              <w:rPr>
                <w:b w:val="0"/>
                <w:i w:val="0"/>
                <w:sz w:val="16"/>
              </w:rPr>
              <w:t>±1.7%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SGX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96%</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86%</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ComfortDelGro</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96%</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±2.6%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67%</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Singtel</w:t>
            </w:r>
          </w:p>
        </w:tc>
        <w:tc>
          <w:tcPr>
            <w:tcW w:type="dxa" w:w="1368"/>
          </w:tcPr>
          <w:p>
            <w:pPr>
              <w:keepNext/>
              <w:jc w:val="right"/>
            </w:pPr>
            <w:r>
              <w:rPr>
                <w:b w:val="0"/>
                <w:i w:val="0"/>
                <w:sz w:val="16"/>
              </w:rPr>
              <w:t>±2.6%</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99%</w:t>
            </w:r>
          </w:p>
        </w:tc>
        <w:tc>
          <w:tcPr>
            <w:tcW w:type="dxa" w:w="2016"/>
            <w:shd w:val="clear" w:color="auto" w:fill="FBE1E0"/>
          </w:tcPr>
          <w:p>
            <w:pPr>
              <w:keepNext/>
            </w:pPr>
            <w:r>
              <w:rPr>
                <w:b/>
                <w:i w:val="0"/>
                <w:color w:val="A12D2C"/>
                <w:sz w:val="16"/>
              </w:rPr>
              <w:t>−100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±2.8%</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Wilmar Intl</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95%</w:t>
            </w:r>
          </w:p>
        </w:tc>
        <w:tc>
          <w:tcPr>
            <w:tcW w:type="dxa" w:w="2016"/>
            <w:shd w:val="clear" w:color="auto" w:fill="E4F3E4"/>
          </w:tcPr>
          <w:p>
            <w:pPr>
              <w:keepNext/>
            </w:pPr>
            <w:r>
              <w:rPr>
                <w:b/>
                <w:i w:val="0"/>
                <w:color w:val="0A6E0A"/>
                <w:sz w:val="16"/>
              </w:rPr>
              <w:t>+50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±3.1%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tcPr>
          <w:p>
            <w:r>
              <w:rPr>
                <w:b w:val="0"/>
                <w:i w:val="0"/>
                <w:sz w:val="16"/>
              </w:rPr>
              <w:t>ST Engineering</w:t>
            </w:r>
          </w:p>
        </w:tc>
        <w:tc>
          <w:tcPr>
            <w:tcW w:type="dxa" w:w="1368"/>
          </w:tcPr>
          <w:p>
            <w:pPr>
              <w:jc w:val="right"/>
            </w:pPr>
            <w:r>
              <w:rPr>
                <w:b w:val="0"/>
                <w:i w:val="0"/>
                <w:sz w:val="16"/>
              </w:rPr>
              <w:t>±3.6%</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96%</w:t>
            </w:r>
          </w:p>
        </w:tc>
        <w:tc>
          <w:tcPr>
            <w:tcW w:type="dxa" w:w="2016"/>
            <w:shd w:val="clear" w:color="auto" w:fill="E4F3E4"/>
          </w:tcPr>
          <w:p>
            <w:r>
              <w:rPr>
                <w:b/>
                <w:i w:val="0"/>
                <w:color w:val="0A6E0A"/>
                <w:sz w:val="16"/>
              </w:rPr>
              <w:t>+100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Ascendas REIT, Mapletree Industrial, Raffles Medical Group, OCBC Bank and CapitaLand Integ. Comm. Trust: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43% of 30 past calls, against 43% for always guessing 'no big move'. Calls marked ✓ were right 43%, the rest —, but the gain is in 'no big move' calls (47% right); ✓ rise-or-fall calls were right only 38% of 13, so a ✓ never makes a direction likely. Before its probabilities were refitted, chances of 90% or more were right only 38%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544 company news articles (each read as positive, negative or neutral by FinBERT, a finance language model) and 72 political articles; price-chart indicators (RSI, MACD, Bollinger bands, VWAP, weekly trend); the market backdrop (VIX 16.0, US yield spread); Singapore ETF options positioning (put/call 0.74).</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Model-only view (6)</w:t>
            </w:r>
          </w:p>
        </w:tc>
        <w:tc>
          <w:tcPr>
            <w:tcW w:type="dxa" w:w="3312"/>
          </w:tcPr>
          <w:p>
            <w:r>
              <w:rPr>
                <w:b w:val="0"/>
                <w:i w:val="0"/>
                <w:sz w:val="15"/>
              </w:rPr>
              <w:t>UOB, Mapletree Pan Asia Comm. Trust, Singtel, ST Engineering, Sembcorp Industries, Wilmar Intl</w:t>
            </w:r>
          </w:p>
        </w:tc>
        <w:tc>
          <w:tcPr>
            <w:tcW w:type="dxa" w:w="4824"/>
          </w:tcPr>
          <w:p>
            <w:r>
              <w:rPr>
                <w:b w:val="0"/>
                <w:i w:val="0"/>
                <w:sz w:val="15"/>
              </w:rPr>
              <w:t>signals flat, but the model has a view</w:t>
            </w:r>
          </w:p>
        </w:tc>
      </w:tr>
      <w:tr>
        <w:tc>
          <w:tcPr>
            <w:tcW w:type="dxa" w:w="1800"/>
            <w:shd w:val="clear" w:color="auto" w:fill="F7F7F5"/>
          </w:tcPr>
          <w:p>
            <w:r>
              <w:rPr>
                <w:b/>
                <w:i w:val="0"/>
                <w:sz w:val="15"/>
              </w:rPr>
              <w:t>Move complete (3)</w:t>
            </w:r>
          </w:p>
        </w:tc>
        <w:tc>
          <w:tcPr>
            <w:tcW w:type="dxa" w:w="3312"/>
            <w:shd w:val="clear" w:color="auto" w:fill="F7F7F5"/>
          </w:tcPr>
          <w:p>
            <w:r>
              <w:rPr>
                <w:b w:val="0"/>
                <w:i w:val="0"/>
                <w:sz w:val="15"/>
              </w:rPr>
              <w:t>OCBC Bank, CapitaLand Integ. Comm. Trust, Ascendas REIT</w:t>
            </w:r>
          </w:p>
        </w:tc>
        <w:tc>
          <w:tcPr>
            <w:tcW w:type="dxa" w:w="4824"/>
            <w:shd w:val="clear" w:color="auto" w:fill="F7F7F5"/>
          </w:tcPr>
          <w:p>
            <w:r>
              <w:rPr>
                <w:b w:val="0"/>
                <w:i w:val="0"/>
                <w:sz w:val="15"/>
              </w:rPr>
              <w:t>the signals played out today; nothing further expected</w:t>
            </w:r>
          </w:p>
        </w:tc>
      </w:tr>
      <w:tr>
        <w:tc>
          <w:tcPr>
            <w:tcW w:type="dxa" w:w="1800"/>
          </w:tcPr>
          <w:p>
            <w:r>
              <w:rPr>
                <w:b/>
                <w:i w:val="0"/>
                <w:sz w:val="15"/>
              </w:rPr>
              <w:t>Dormant (2)</w:t>
            </w:r>
          </w:p>
        </w:tc>
        <w:tc>
          <w:tcPr>
            <w:tcW w:type="dxa" w:w="3312"/>
          </w:tcPr>
          <w:p>
            <w:r>
              <w:rPr>
                <w:b w:val="0"/>
                <w:i w:val="0"/>
                <w:sz w:val="15"/>
              </w:rPr>
              <w:t>DBS Group, ComfortDelGro</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Quiet (2)</w:t>
            </w:r>
          </w:p>
        </w:tc>
        <w:tc>
          <w:tcPr>
            <w:tcW w:type="dxa" w:w="3312"/>
            <w:shd w:val="clear" w:color="auto" w:fill="F7F7F5"/>
          </w:tcPr>
          <w:p>
            <w:r>
              <w:rPr>
                <w:b w:val="0"/>
                <w:i w:val="0"/>
                <w:sz w:val="15"/>
              </w:rPr>
              <w:t>Mapletree Industrial, Raffles Medical Group</w:t>
            </w:r>
          </w:p>
        </w:tc>
        <w:tc>
          <w:tcPr>
            <w:tcW w:type="dxa" w:w="4824"/>
            <w:shd w:val="clear" w:color="auto" w:fill="F7F7F5"/>
          </w:tcPr>
          <w:p>
            <w:r>
              <w:rPr>
                <w:b w:val="0"/>
                <w:i w:val="0"/>
                <w:sz w:val="15"/>
              </w:rPr>
              <w:t>no directional signal today</w:t>
            </w:r>
          </w:p>
        </w:tc>
      </w:tr>
      <w:tr>
        <w:tc>
          <w:tcPr>
            <w:tcW w:type="dxa" w:w="1800"/>
          </w:tcPr>
          <w:p>
            <w:r>
              <w:rPr>
                <w:b/>
                <w:i w:val="0"/>
                <w:sz w:val="15"/>
              </w:rPr>
              <w:t>Muted, fading (2)</w:t>
            </w:r>
          </w:p>
        </w:tc>
        <w:tc>
          <w:tcPr>
            <w:tcW w:type="dxa" w:w="3312"/>
          </w:tcPr>
          <w:p>
            <w:r>
              <w:rPr>
                <w:b w:val="0"/>
                <w:i w:val="0"/>
                <w:sz w:val="15"/>
              </w:rPr>
              <w:t>Keppel Corp, SGX Group</w:t>
            </w:r>
          </w:p>
        </w:tc>
        <w:tc>
          <w:tcPr>
            <w:tcW w:type="dxa" w:w="4824"/>
          </w:tcPr>
          <w:p>
            <w:r>
              <w:rPr>
                <w:b w:val="0"/>
                <w:i w:val="0"/>
                <w:sz w:val="15"/>
              </w:rPr>
              <w:t>signals leaned one way, price barely moved; the model expects the opposite</w:t>
            </w:r>
          </w:p>
        </w:tc>
      </w:tr>
    </w:tbl>
    <w:p>
      <w:pPr>
        <w:spacing w:after="40"/>
      </w:pPr>
      <w:r>
        <w:rPr>
          <w:b w:val="0"/>
          <w:i w:val="0"/>
          <w:color w:val="52514E"/>
          <w:sz w:val="15"/>
        </w:rPr>
        <w:t>The other patterns in the 11-pattern engine did not occur today; the full set is defined in the final report, Appendix C. The contradiction check rated 3 of 15 readings strongly mixed (named on the cards) and 11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43% of 30 vs 43%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38% of the time (21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43%, others —; the gain is in 'no big move' calls (47%). ✓ rise-or-fall calls: 38% of 13.</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21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