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Monday 24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18–24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+0.2% on average (9 up, 6 down); over 18–24 Aug they moved -0.4%. Weakest: Banking (-1.6%), Financial Services (-1.3%) and Healthcare (-1.1%); strongest: Consumer Goods (+1.2%) and REIT (+0.8%).</w:t>
      </w:r>
    </w:p>
    <w:p>
      <w:pPr>
        <w:pStyle w:val="ListBullet"/>
        <w:spacing w:after="40"/>
      </w:pPr>
      <w:r>
        <w:rPr>
          <w:b w:val="0"/>
          <w:i w:val="0"/>
          <w:sz w:val="19"/>
        </w:rPr>
        <w:t>Biggest movers over 18–24 Aug: ST Engineering (-4.0%), Wilmar Intl (+3.9%) and Sembcorp Industries (+2.2%). ST Engineering moved more than the market without a company news story. Sembcorp Industries moved against the market without a company news story. For Wilmar Intl, the company news and the price disagree. See section 2.</w:t>
      </w:r>
    </w:p>
    <w:p>
      <w:pPr>
        <w:pStyle w:val="ListBullet"/>
        <w:spacing w:after="40"/>
      </w:pPr>
      <w:r>
        <w:rPr>
          <w:b w:val="0"/>
          <w:i w:val="0"/>
          <w:sz w:val="19"/>
        </w:rPr>
        <w:t>The market backdrop is normal (VIX 15.1), and Singapore ETF options are neutral (put/call 0.44).</w:t>
      </w:r>
    </w:p>
    <w:p>
      <w:pPr>
        <w:pStyle w:val="ListBullet"/>
        <w:spacing w:after="40"/>
      </w:pPr>
      <w:r>
        <w:rPr>
          <w:b w:val="0"/>
          <w:i w:val="0"/>
          <w:sz w:val="19"/>
        </w:rPr>
        <w:t>Today's news added a positive signal for DBS Group (not yet in the price), SGX Group (already in the price), CapitaLand Integ. Comm. Trust (not yet in the price), Keppel Corp (not yet in the price) and six more. See section 2.</w:t>
      </w:r>
    </w:p>
    <w:p>
      <w:pPr>
        <w:pStyle w:val="ListBullet"/>
        <w:spacing w:after="40"/>
      </w:pPr>
      <w:r>
        <w:rPr>
          <w:b w:val="0"/>
          <w:i w:val="0"/>
          <w:sz w:val="19"/>
        </w:rPr>
        <w:t>The forecast model leans towards a rise for OCBC Bank and UOB; a fall for Singtel and ComfortDelGro and no big move for the rest (only OCBC Bank and ComfortDelGro with a ✓ record); normal 3-day swings run from ±0.7% (Mapletree Industrial) to ±3.5% (ST Engineering), so a bigger move than a stock's own swing would be unusual. See section 3.</w:t>
      </w:r>
    </w:p>
    <w:p>
      <w:pPr>
        <w:pStyle w:val="ListBullet"/>
        <w:spacing w:after="40"/>
      </w:pPr>
      <w:r>
        <w:rPr>
          <w:b w:val="0"/>
          <w:i w:val="0"/>
          <w:sz w:val="19"/>
        </w:rPr>
        <w:t>No stock is flagged ⚑ today. The moves in ST Engineering and Sembcorp Industries came without company news, so sector or market news is the place to check before reacting. If you prefer less day-to-day movement, Mapletree Industrial, DBS Group, ST Engineering, Mapletree Pan Asia Comm. Trust and CapitaLand Integ. Comm. Trust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18–24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DBS Group ★</w:t>
            </w:r>
          </w:p>
        </w:tc>
        <w:tc>
          <w:tcPr>
            <w:tcW w:type="dxa" w:w="662"/>
          </w:tcPr>
          <w:p>
            <w:pPr>
              <w:jc w:val="right"/>
            </w:pPr>
            <w:r>
              <w:rPr>
                <w:b w:val="0"/>
                <w:i w:val="0"/>
                <w:color w:val="A12D2C"/>
                <w:sz w:val="15"/>
              </w:rPr>
              <w:t>-0.6%</w:t>
            </w:r>
          </w:p>
        </w:tc>
        <w:tc>
          <w:tcPr>
            <w:tcW w:type="dxa" w:w="792"/>
          </w:tcPr>
          <w:p>
            <w:pPr>
              <w:jc w:val="right"/>
            </w:pPr>
            <w:r>
              <w:rPr>
                <w:b w:val="0"/>
                <w:i w:val="0"/>
                <w:color w:val="A12D2C"/>
                <w:sz w:val="15"/>
              </w:rPr>
              <w:t>-1.7%</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SGX Group ★</w:t>
            </w:r>
          </w:p>
        </w:tc>
        <w:tc>
          <w:tcPr>
            <w:tcW w:type="dxa" w:w="662"/>
            <w:shd w:val="clear" w:color="auto" w:fill="F7F7F5"/>
          </w:tcPr>
          <w:p>
            <w:pPr>
              <w:jc w:val="right"/>
            </w:pPr>
            <w:r>
              <w:rPr>
                <w:b w:val="0"/>
                <w:i w:val="0"/>
                <w:color w:val="1C5CAB"/>
                <w:sz w:val="15"/>
              </w:rPr>
              <w:t>+1.1%</w:t>
            </w:r>
          </w:p>
        </w:tc>
        <w:tc>
          <w:tcPr>
            <w:tcW w:type="dxa" w:w="792"/>
            <w:shd w:val="clear" w:color="auto" w:fill="F7F7F5"/>
          </w:tcPr>
          <w:p>
            <w:pPr>
              <w:jc w:val="right"/>
            </w:pPr>
            <w:r>
              <w:rPr>
                <w:b w:val="0"/>
                <w:i w:val="0"/>
                <w:color w:val="A12D2C"/>
                <w:sz w:val="15"/>
              </w:rPr>
              <w:t>-1.3%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Price agreed</w:t>
            </w:r>
          </w:p>
        </w:tc>
      </w:tr>
      <w:tr>
        <w:tc>
          <w:tcPr>
            <w:tcW w:type="dxa" w:w="360"/>
          </w:tcPr>
          <w:p>
            <w:r>
              <w:rPr>
                <w:b w:val="0"/>
                <w:i w:val="0"/>
                <w:sz w:val="15"/>
              </w:rPr>
              <w:t>3</w:t>
            </w:r>
          </w:p>
        </w:tc>
        <w:tc>
          <w:tcPr>
            <w:tcW w:type="dxa" w:w="2189"/>
          </w:tcPr>
          <w:p>
            <w:r>
              <w:rPr>
                <w:b w:val="0"/>
                <w:i w:val="0"/>
                <w:sz w:val="15"/>
              </w:rPr>
              <w:t>Keppel Corp ★</w:t>
            </w:r>
          </w:p>
        </w:tc>
        <w:tc>
          <w:tcPr>
            <w:tcW w:type="dxa" w:w="662"/>
          </w:tcPr>
          <w:p>
            <w:pPr>
              <w:jc w:val="right"/>
            </w:pPr>
            <w:r>
              <w:rPr>
                <w:b w:val="0"/>
                <w:i w:val="0"/>
                <w:color w:val="52514E"/>
                <w:sz w:val="15"/>
              </w:rPr>
              <w:t>+0.3%</w:t>
            </w:r>
          </w:p>
        </w:tc>
        <w:tc>
          <w:tcPr>
            <w:tcW w:type="dxa" w:w="792"/>
          </w:tcPr>
          <w:p>
            <w:pPr>
              <w:jc w:val="right"/>
            </w:pPr>
            <w:r>
              <w:rPr>
                <w:b w:val="0"/>
                <w:i w:val="0"/>
                <w:color w:val="A12D2C"/>
                <w:sz w:val="15"/>
              </w:rPr>
              <w:t>-1.4%</w:t>
            </w:r>
          </w:p>
        </w:tc>
        <w:tc>
          <w:tcPr>
            <w:tcW w:type="dxa" w:w="1037"/>
            <w:shd w:val="clear" w:color="auto" w:fill="DCEAFB"/>
          </w:tcPr>
          <w:p>
            <w:r>
              <w:rPr>
                <w:b/>
                <w:i w:val="0"/>
                <w:color w:val="1C5CAB"/>
                <w:sz w:val="15"/>
              </w:rPr>
              <w:t>Positive</w:t>
            </w:r>
          </w:p>
        </w:tc>
        <w:tc>
          <w:tcPr>
            <w:tcW w:type="dxa" w:w="1382"/>
          </w:tcPr>
          <w:p>
            <w:r>
              <w:rPr>
                <w:b w:val="0"/>
                <w:i w:val="0"/>
                <w:sz w:val="15"/>
              </w:rPr>
              <w:t>Mostly positive (31)</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52514E"/>
                <w:sz w:val="15"/>
              </w:rPr>
              <w:t>+0.0%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(30)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5</w:t>
            </w:r>
          </w:p>
        </w:tc>
        <w:tc>
          <w:tcPr>
            <w:tcW w:type="dxa" w:w="2189"/>
          </w:tcPr>
          <w:p>
            <w:r>
              <w:rPr>
                <w:b w:val="0"/>
                <w:i w:val="0"/>
                <w:sz w:val="15"/>
              </w:rPr>
              <w:t>OCBC Bank ★</w:t>
            </w:r>
          </w:p>
        </w:tc>
        <w:tc>
          <w:tcPr>
            <w:tcW w:type="dxa" w:w="662"/>
          </w:tcPr>
          <w:p>
            <w:pPr>
              <w:jc w:val="right"/>
            </w:pPr>
            <w:r>
              <w:rPr>
                <w:b w:val="0"/>
                <w:i w:val="0"/>
                <w:color w:val="52514E"/>
                <w:sz w:val="15"/>
              </w:rPr>
              <w:t>-0.2%</w:t>
            </w:r>
          </w:p>
        </w:tc>
        <w:tc>
          <w:tcPr>
            <w:tcW w:type="dxa" w:w="792"/>
          </w:tcPr>
          <w:p>
            <w:pPr>
              <w:jc w:val="right"/>
            </w:pPr>
            <w:r>
              <w:rPr>
                <w:b w:val="0"/>
                <w:i w:val="0"/>
                <w:color w:val="A12D2C"/>
                <w:sz w:val="15"/>
              </w:rPr>
              <w:t>-2.0%</w:t>
            </w:r>
          </w:p>
        </w:tc>
        <w:tc>
          <w:tcPr>
            <w:tcW w:type="dxa" w:w="1037"/>
            <w:shd w:val="clear" w:color="auto" w:fill="DCEAFB"/>
          </w:tcPr>
          <w:p>
            <w:r>
              <w:rPr>
                <w:b/>
                <w:i w:val="0"/>
                <w:color w:val="1C5CAB"/>
                <w:sz w:val="15"/>
              </w:rPr>
              <w:t>Positive</w:t>
            </w:r>
          </w:p>
        </w:tc>
        <w:tc>
          <w:tcPr>
            <w:tcW w:type="dxa" w:w="1382"/>
          </w:tcPr>
          <w:p>
            <w:r>
              <w:rPr>
                <w:b w:val="0"/>
                <w:i w:val="0"/>
                <w:sz w:val="15"/>
              </w:rPr>
              <w:t>Mixed (50)</w:t>
            </w:r>
          </w:p>
        </w:tc>
        <w:tc>
          <w:tcPr>
            <w:tcW w:type="dxa" w:w="1872"/>
          </w:tcPr>
          <w:p>
            <w:r>
              <w:rPr>
                <w:b w:val="0"/>
                <w:i w:val="0"/>
                <w:sz w:val="15"/>
              </w:rPr>
              <w:t>Weekly up · Above avg price</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1C5CAB"/>
                <w:sz w:val="15"/>
              </w:rPr>
              <w:t>+0.5%</w:t>
            </w:r>
          </w:p>
        </w:tc>
        <w:tc>
          <w:tcPr>
            <w:tcW w:type="dxa" w:w="792"/>
            <w:shd w:val="clear" w:color="auto" w:fill="F7F7F5"/>
          </w:tcPr>
          <w:p>
            <w:pPr>
              <w:jc w:val="right"/>
            </w:pPr>
            <w:r>
              <w:rPr>
                <w:b w:val="0"/>
                <w:i w:val="0"/>
                <w:color w:val="A12D2C"/>
                <w:sz w:val="15"/>
              </w:rPr>
              <w:t>-1.0%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(45)</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Raffles Medical Group ★</w:t>
            </w:r>
          </w:p>
        </w:tc>
        <w:tc>
          <w:tcPr>
            <w:tcW w:type="dxa" w:w="662"/>
          </w:tcPr>
          <w:p>
            <w:pPr>
              <w:jc w:val="right"/>
            </w:pPr>
            <w:r>
              <w:rPr>
                <w:b w:val="0"/>
                <w:i w:val="0"/>
                <w:color w:val="A12D2C"/>
                <w:sz w:val="15"/>
              </w:rPr>
              <w:t>-0.6%</w:t>
            </w:r>
          </w:p>
        </w:tc>
        <w:tc>
          <w:tcPr>
            <w:tcW w:type="dxa" w:w="792"/>
          </w:tcPr>
          <w:p>
            <w:pPr>
              <w:jc w:val="right"/>
            </w:pPr>
            <w:r>
              <w:rPr>
                <w:b w:val="0"/>
                <w:i w:val="0"/>
                <w:color w:val="A12D2C"/>
                <w:sz w:val="15"/>
              </w:rPr>
              <w:t>-1.1%</w:t>
            </w:r>
          </w:p>
        </w:tc>
        <w:tc>
          <w:tcPr>
            <w:tcW w:type="dxa" w:w="1037"/>
            <w:shd w:val="clear" w:color="auto" w:fill="DCEAFB"/>
          </w:tcPr>
          <w:p>
            <w:r>
              <w:rPr>
                <w:b/>
                <w:i w:val="0"/>
                <w:color w:val="1C5CAB"/>
                <w:sz w:val="15"/>
              </w:rPr>
              <w:t>Positive</w:t>
            </w:r>
          </w:p>
        </w:tc>
        <w:tc>
          <w:tcPr>
            <w:tcW w:type="dxa" w:w="1382"/>
          </w:tcPr>
          <w:p>
            <w:r>
              <w:rPr>
                <w:b w:val="0"/>
                <w:i w:val="0"/>
                <w:sz w:val="15"/>
              </w:rPr>
              <w:t>Mostly positive (20)</w:t>
            </w:r>
          </w:p>
        </w:tc>
        <w:tc>
          <w:tcPr>
            <w:tcW w:type="dxa" w:w="1872"/>
          </w:tcPr>
          <w:p>
            <w:r>
              <w:rPr>
                <w:b w:val="0"/>
                <w:i w:val="0"/>
                <w:sz w:val="15"/>
              </w:rPr>
              <w:t>Weekly down</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ComfortDelGro ★</w:t>
            </w:r>
          </w:p>
        </w:tc>
        <w:tc>
          <w:tcPr>
            <w:tcW w:type="dxa" w:w="662"/>
            <w:shd w:val="clear" w:color="auto" w:fill="F7F7F5"/>
          </w:tcPr>
          <w:p>
            <w:pPr>
              <w:jc w:val="right"/>
            </w:pPr>
            <w:r>
              <w:rPr>
                <w:b w:val="0"/>
                <w:i w:val="0"/>
                <w:color w:val="1C5CAB"/>
                <w:sz w:val="15"/>
              </w:rPr>
              <w:t>+0.8%</w:t>
            </w:r>
          </w:p>
        </w:tc>
        <w:tc>
          <w:tcPr>
            <w:tcW w:type="dxa" w:w="792"/>
            <w:shd w:val="clear" w:color="auto" w:fill="F7F7F5"/>
          </w:tcPr>
          <w:p>
            <w:pPr>
              <w:jc w:val="right"/>
            </w:pPr>
            <w:r>
              <w:rPr>
                <w:b w:val="0"/>
                <w:i w:val="0"/>
                <w:color w:val="A12D2C"/>
                <w:sz w:val="15"/>
              </w:rPr>
              <w:t>-1.5%</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(48)</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agreed</w:t>
            </w:r>
          </w:p>
        </w:tc>
      </w:tr>
      <w:tr>
        <w:tc>
          <w:tcPr>
            <w:tcW w:type="dxa" w:w="360"/>
          </w:tcPr>
          <w:p>
            <w:r>
              <w:rPr>
                <w:b w:val="0"/>
                <w:i w:val="0"/>
                <w:sz w:val="15"/>
              </w:rPr>
              <w:t>9</w:t>
            </w:r>
          </w:p>
        </w:tc>
        <w:tc>
          <w:tcPr>
            <w:tcW w:type="dxa" w:w="2189"/>
          </w:tcPr>
          <w:p>
            <w:r>
              <w:rPr>
                <w:b w:val="0"/>
                <w:i w:val="0"/>
                <w:sz w:val="15"/>
              </w:rPr>
              <w:t>Sembcorp Industries ★</w:t>
            </w:r>
          </w:p>
        </w:tc>
        <w:tc>
          <w:tcPr>
            <w:tcW w:type="dxa" w:w="662"/>
          </w:tcPr>
          <w:p>
            <w:pPr>
              <w:jc w:val="right"/>
            </w:pPr>
            <w:r>
              <w:rPr>
                <w:b w:val="0"/>
                <w:i w:val="0"/>
                <w:color w:val="A12D2C"/>
                <w:sz w:val="15"/>
              </w:rPr>
              <w:t>-0.8%</w:t>
            </w:r>
          </w:p>
        </w:tc>
        <w:tc>
          <w:tcPr>
            <w:tcW w:type="dxa" w:w="792"/>
          </w:tcPr>
          <w:p>
            <w:pPr>
              <w:jc w:val="right"/>
            </w:pPr>
            <w:r>
              <w:rPr>
                <w:b w:val="0"/>
                <w:i w:val="0"/>
                <w:color w:val="1C5CAB"/>
                <w:sz w:val="15"/>
              </w:rPr>
              <w:t>+2.2%</w:t>
            </w:r>
          </w:p>
        </w:tc>
        <w:tc>
          <w:tcPr>
            <w:tcW w:type="dxa" w:w="1037"/>
            <w:shd w:val="clear" w:color="auto" w:fill="DCEAFB"/>
          </w:tcPr>
          <w:p>
            <w:r>
              <w:rPr>
                <w:b/>
                <w:i w:val="0"/>
                <w:color w:val="1C5CAB"/>
                <w:sz w:val="15"/>
              </w:rPr>
              <w:t>Positive</w:t>
            </w:r>
          </w:p>
        </w:tc>
        <w:tc>
          <w:tcPr>
            <w:tcW w:type="dxa" w:w="1382"/>
          </w:tcPr>
          <w:p>
            <w:r>
              <w:rPr>
                <w:b w:val="0"/>
                <w:i w:val="0"/>
                <w:sz w:val="15"/>
              </w:rPr>
              <w:t>Mixed (25)</w:t>
            </w:r>
          </w:p>
        </w:tc>
        <w:tc>
          <w:tcPr>
            <w:tcW w:type="dxa" w:w="1872"/>
          </w:tcPr>
          <w:p>
            <w:r>
              <w:rPr>
                <w:b w:val="0"/>
                <w:i w:val="0"/>
                <w:sz w:val="15"/>
              </w:rPr>
              <w:t>Above avg price</w:t>
            </w:r>
          </w:p>
        </w:tc>
        <w:tc>
          <w:tcPr>
            <w:tcW w:type="dxa" w:w="1642"/>
          </w:tcPr>
          <w:p>
            <w:r>
              <w:rPr>
                <w:b w:val="0"/>
                <w:i w:val="0"/>
                <w:sz w:val="15"/>
              </w:rPr>
              <w:t>Price went the other way</w:t>
            </w:r>
          </w:p>
        </w:tc>
      </w:tr>
      <w:tr>
        <w:tc>
          <w:tcPr>
            <w:tcW w:type="dxa" w:w="360"/>
            <w:shd w:val="clear" w:color="auto" w:fill="F7F7F5"/>
          </w:tcPr>
          <w:p>
            <w:r>
              <w:rPr>
                <w:b w:val="0"/>
                <w:i w:val="0"/>
                <w:sz w:val="15"/>
              </w:rPr>
              <w:t>10</w:t>
            </w:r>
          </w:p>
        </w:tc>
        <w:tc>
          <w:tcPr>
            <w:tcW w:type="dxa" w:w="2189"/>
            <w:shd w:val="clear" w:color="auto" w:fill="F7F7F5"/>
          </w:tcPr>
          <w:p>
            <w:r>
              <w:rPr>
                <w:b w:val="0"/>
                <w:i w:val="0"/>
                <w:sz w:val="15"/>
              </w:rPr>
              <w:t>Ascendas REIT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1C5CAB"/>
                <w:sz w:val="15"/>
              </w:rPr>
              <w:t>+0.4%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11</w:t>
            </w:r>
          </w:p>
        </w:tc>
        <w:tc>
          <w:tcPr>
            <w:tcW w:type="dxa" w:w="2189"/>
          </w:tcPr>
          <w:p>
            <w:r>
              <w:rPr>
                <w:b w:val="0"/>
                <w:i w:val="0"/>
                <w:sz w:val="15"/>
              </w:rPr>
              <w:t>Singtel ★</w:t>
            </w:r>
          </w:p>
        </w:tc>
        <w:tc>
          <w:tcPr>
            <w:tcW w:type="dxa" w:w="662"/>
          </w:tcPr>
          <w:p>
            <w:pPr>
              <w:jc w:val="right"/>
            </w:pPr>
            <w:r>
              <w:rPr>
                <w:b w:val="0"/>
                <w:i w:val="0"/>
                <w:color w:val="1C5CAB"/>
                <w:sz w:val="15"/>
              </w:rPr>
              <w:t>+0.5%</w:t>
            </w:r>
          </w:p>
        </w:tc>
        <w:tc>
          <w:tcPr>
            <w:tcW w:type="dxa" w:w="792"/>
          </w:tcPr>
          <w:p>
            <w:pPr>
              <w:jc w:val="right"/>
            </w:pPr>
            <w:r>
              <w:rPr>
                <w:b w:val="0"/>
                <w:i w:val="0"/>
                <w:color w:val="A12D2C"/>
                <w:sz w:val="15"/>
              </w:rPr>
              <w:t>-0.9%</w:t>
            </w:r>
          </w:p>
        </w:tc>
        <w:tc>
          <w:tcPr>
            <w:tcW w:type="dxa" w:w="1037"/>
            <w:shd w:val="clear" w:color="auto" w:fill="EFEEEA"/>
          </w:tcPr>
          <w:p>
            <w:r>
              <w:rPr>
                <w:b/>
                <w:i w:val="0"/>
                <w:color w:val="52514E"/>
                <w:sz w:val="15"/>
              </w:rPr>
              <w:t>Neutral</w:t>
            </w:r>
          </w:p>
        </w:tc>
        <w:tc>
          <w:tcPr>
            <w:tcW w:type="dxa" w:w="1382"/>
          </w:tcPr>
          <w:p>
            <w:r>
              <w:rPr>
                <w:b w:val="0"/>
                <w:i w:val="0"/>
                <w:sz w:val="15"/>
              </w:rPr>
              <w:t>Mixed (50)</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12</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A12D2C"/>
                <w:sz w:val="15"/>
              </w:rPr>
              <w:t>-4.0%</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Mixed (28)</w:t>
            </w:r>
          </w:p>
        </w:tc>
        <w:tc>
          <w:tcPr>
            <w:tcW w:type="dxa" w:w="1872"/>
            <w:shd w:val="clear" w:color="auto" w:fill="F7F7F5"/>
          </w:tcPr>
          <w:p>
            <w:r>
              <w:rPr>
                <w:b w:val="0"/>
                <w:i w:val="0"/>
                <w:sz w:val="15"/>
              </w:rPr>
              <w:t>—</w:t>
            </w:r>
          </w:p>
        </w:tc>
        <w:tc>
          <w:tcPr>
            <w:tcW w:type="dxa" w:w="1642"/>
            <w:shd w:val="clear" w:color="auto" w:fill="F7F7F5"/>
          </w:tcPr>
          <w:p>
            <w:r>
              <w:rPr>
                <w:b w:val="0"/>
                <w:i w:val="0"/>
                <w:sz w:val="15"/>
              </w:rPr>
              <w:t>No signal, little move</w:t>
            </w:r>
          </w:p>
        </w:tc>
      </w:tr>
      <w:tr>
        <w:tc>
          <w:tcPr>
            <w:tcW w:type="dxa" w:w="360"/>
          </w:tcPr>
          <w:p>
            <w:r>
              <w:rPr>
                <w:b w:val="0"/>
                <w:i w:val="0"/>
                <w:sz w:val="15"/>
              </w:rPr>
              <w:t>13</w:t>
            </w:r>
          </w:p>
        </w:tc>
        <w:tc>
          <w:tcPr>
            <w:tcW w:type="dxa" w:w="2189"/>
          </w:tcPr>
          <w:p>
            <w:r>
              <w:rPr>
                <w:b w:val="0"/>
                <w:i w:val="0"/>
                <w:sz w:val="15"/>
              </w:rPr>
              <w:t>Mapletree Industrial ★</w:t>
            </w:r>
          </w:p>
        </w:tc>
        <w:tc>
          <w:tcPr>
            <w:tcW w:type="dxa" w:w="662"/>
          </w:tcPr>
          <w:p>
            <w:pPr>
              <w:jc w:val="right"/>
            </w:pPr>
            <w:r>
              <w:rPr>
                <w:b w:val="0"/>
                <w:i w:val="0"/>
                <w:color w:val="1C5CAB"/>
                <w:sz w:val="15"/>
              </w:rPr>
              <w:t>+0.5%</w:t>
            </w:r>
          </w:p>
        </w:tc>
        <w:tc>
          <w:tcPr>
            <w:tcW w:type="dxa" w:w="792"/>
          </w:tcPr>
          <w:p>
            <w:pPr>
              <w:jc w:val="right"/>
            </w:pPr>
            <w:r>
              <w:rPr>
                <w:b w:val="0"/>
                <w:i w:val="0"/>
                <w:color w:val="1C5CAB"/>
                <w:sz w:val="15"/>
              </w:rPr>
              <w:t>+1.0%</w:t>
            </w:r>
          </w:p>
        </w:tc>
        <w:tc>
          <w:tcPr>
            <w:tcW w:type="dxa" w:w="1037"/>
            <w:shd w:val="clear" w:color="auto" w:fill="EFEEEA"/>
          </w:tcPr>
          <w:p>
            <w:r>
              <w:rPr>
                <w:b/>
                <w:i w:val="0"/>
                <w:color w:val="52514E"/>
                <w:sz w:val="15"/>
              </w:rPr>
              <w:t>Neutral</w:t>
            </w:r>
          </w:p>
        </w:tc>
        <w:tc>
          <w:tcPr>
            <w:tcW w:type="dxa" w:w="1382"/>
          </w:tcPr>
          <w:p>
            <w:r>
              <w:rPr>
                <w:b w:val="0"/>
                <w:i w:val="0"/>
                <w:sz w:val="15"/>
              </w:rPr>
              <w:t>Mostly negative (14)</w:t>
            </w:r>
          </w:p>
        </w:tc>
        <w:tc>
          <w:tcPr>
            <w:tcW w:type="dxa" w:w="1872"/>
          </w:tcPr>
          <w:p>
            <w:r>
              <w:rPr>
                <w:b w:val="0"/>
                <w:i w:val="0"/>
                <w:sz w:val="15"/>
              </w:rPr>
              <w:t>Trend turned up · Above avg price</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1C5CAB"/>
                <w:sz w:val="15"/>
              </w:rPr>
              <w:t>+1.3%</w:t>
            </w:r>
          </w:p>
        </w:tc>
        <w:tc>
          <w:tcPr>
            <w:tcW w:type="dxa" w:w="792"/>
            <w:shd w:val="clear" w:color="auto" w:fill="F7F7F5"/>
          </w:tcPr>
          <w:p>
            <w:pPr>
              <w:jc w:val="right"/>
            </w:pPr>
            <w:r>
              <w:rPr>
                <w:b w:val="0"/>
                <w:i w:val="0"/>
                <w:color w:val="1C5CAB"/>
                <w:sz w:val="15"/>
              </w:rPr>
              <w:t>+3.9%</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negative (21)</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Moved without a signal</w:t>
            </w:r>
          </w:p>
        </w:tc>
      </w:tr>
      <w:tr>
        <w:tc>
          <w:tcPr>
            <w:tcW w:type="dxa" w:w="360"/>
          </w:tcPr>
          <w:p>
            <w:r>
              <w:rPr>
                <w:b w:val="0"/>
                <w:i w:val="0"/>
                <w:sz w:val="15"/>
              </w:rPr>
              <w:t>15</w:t>
            </w:r>
          </w:p>
        </w:tc>
        <w:tc>
          <w:tcPr>
            <w:tcW w:type="dxa" w:w="2189"/>
          </w:tcPr>
          <w:p>
            <w:r>
              <w:rPr>
                <w:b w:val="0"/>
                <w:i w:val="0"/>
                <w:sz w:val="15"/>
              </w:rPr>
              <w:t>Mapletree Pan Asia Comm. Trust ★</w:t>
            </w:r>
          </w:p>
        </w:tc>
        <w:tc>
          <w:tcPr>
            <w:tcW w:type="dxa" w:w="662"/>
          </w:tcPr>
          <w:p>
            <w:pPr>
              <w:jc w:val="right"/>
            </w:pPr>
            <w:r>
              <w:rPr>
                <w:b w:val="0"/>
                <w:i w:val="0"/>
                <w:color w:val="1C5CAB"/>
                <w:sz w:val="15"/>
              </w:rPr>
              <w:t>+0.8%</w:t>
            </w:r>
          </w:p>
        </w:tc>
        <w:tc>
          <w:tcPr>
            <w:tcW w:type="dxa" w:w="792"/>
          </w:tcPr>
          <w:p>
            <w:pPr>
              <w:jc w:val="right"/>
            </w:pPr>
            <w:r>
              <w:rPr>
                <w:b w:val="0"/>
                <w:i w:val="0"/>
                <w:color w:val="1C5CAB"/>
                <w:sz w:val="15"/>
              </w:rPr>
              <w:t>+1.6%</w:t>
            </w:r>
          </w:p>
        </w:tc>
        <w:tc>
          <w:tcPr>
            <w:tcW w:type="dxa" w:w="1037"/>
            <w:shd w:val="clear" w:color="auto" w:fill="EFEEEA"/>
          </w:tcPr>
          <w:p>
            <w:r>
              <w:rPr>
                <w:b/>
                <w:i w:val="0"/>
                <w:color w:val="52514E"/>
                <w:sz w:val="15"/>
              </w:rPr>
              <w:t>Neutral</w:t>
            </w:r>
          </w:p>
        </w:tc>
        <w:tc>
          <w:tcPr>
            <w:tcW w:type="dxa" w:w="1382"/>
          </w:tcPr>
          <w:p>
            <w:r>
              <w:rPr>
                <w:b w:val="0"/>
                <w:i w:val="0"/>
                <w:sz w:val="15"/>
              </w:rPr>
              <w:t>Mostly negative (19)</w:t>
            </w:r>
          </w:p>
        </w:tc>
        <w:tc>
          <w:tcPr>
            <w:tcW w:type="dxa" w:w="1872"/>
          </w:tcPr>
          <w:p>
            <w:r>
              <w:rPr>
                <w:b w:val="0"/>
                <w:i w:val="0"/>
                <w:sz w:val="15"/>
              </w:rPr>
              <w:t>Above avg price</w:t>
            </w:r>
          </w:p>
        </w:tc>
        <w:tc>
          <w:tcPr>
            <w:tcW w:type="dxa" w:w="1642"/>
          </w:tcPr>
          <w:p>
            <w:r>
              <w:rPr>
                <w:b w:val="0"/>
                <w:i w:val="0"/>
                <w:sz w:val="15"/>
              </w:rPr>
              <w:t>Moved without a signal</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18–24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24.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OCBC Bank</w:t>
            </w:r>
            <w:r>
              <w:rPr>
                <w:b w:val="0"/>
                <w:i w:val="0"/>
                <w:color w:val="52514E"/>
                <w:sz w:val="17"/>
              </w:rPr>
              <w:t xml:space="preserve">   Banking  ·  -2.0% over 18–24 Aug</w:t>
            </w:r>
          </w:p>
          <w:p>
            <w:pPr>
              <w:spacing w:after="10" w:line="240" w:lineRule="auto"/>
            </w:pPr>
            <w:r>
              <w:rPr>
                <w:b/>
                <w:i w:val="0"/>
                <w:color w:val="1A2E55"/>
                <w:sz w:val="16"/>
              </w:rPr>
              <w:t xml:space="preserve">In short (AI-written, checked)  </w:t>
            </w:r>
            <w:r>
              <w:rPr>
                <w:b w:val="0"/>
                <w:i w:val="0"/>
                <w:sz w:val="16"/>
              </w:rPr>
              <w:t>OCBC Bank fell 2.0% over 18–24 Aug. The news today is mixed and does not yet appear in the price, and the move looks sector-wide. The forecast model suggests a rise with a 66% chance, but that signal is weak.</w:t>
            </w:r>
          </w:p>
          <w:p>
            <w:pPr>
              <w:spacing w:after="10" w:line="240" w:lineRule="auto"/>
            </w:pPr>
            <w:r>
              <w:rPr>
                <w:b/>
                <w:i w:val="0"/>
                <w:color w:val="1A2E55"/>
                <w:sz w:val="16"/>
              </w:rPr>
              <w:t xml:space="preserve">What happened  </w:t>
            </w:r>
            <w:r>
              <w:rPr>
                <w:b w:val="0"/>
                <w:i w:val="0"/>
                <w:sz w:val="16"/>
              </w:rPr>
              <w:t>Fell 2.0% over 18–24 Aug, most of it on Tue 18 Aug (-1.9%). Today -0.2%.</w:t>
            </w:r>
          </w:p>
          <w:p>
            <w:pPr>
              <w:spacing w:after="10" w:line="240" w:lineRule="auto"/>
            </w:pPr>
            <w:r>
              <w:rPr>
                <w:b/>
                <w:i w:val="0"/>
                <w:color w:val="1A2E55"/>
                <w:sz w:val="16"/>
              </w:rPr>
              <w:t xml:space="preserve">Today: news vs price  </w:t>
            </w:r>
            <w:r>
              <w:rPr>
                <w:b w:val="0"/>
                <w:i w:val="0"/>
                <w:sz w:val="16"/>
              </w:rPr>
              <w:t>Positive reading, but the price fell 0.2%, within a normal day's ±0.6%: the news has not shown up in the price. The forecast model still expects that direction. (Pattern: Muted, pending.)</w:t>
            </w:r>
          </w:p>
          <w:p>
            <w:pPr>
              <w:spacing w:after="10" w:line="240" w:lineRule="auto"/>
            </w:pPr>
            <w:r>
              <w:rPr>
                <w:b/>
                <w:i w:val="0"/>
                <w:color w:val="1A2E55"/>
                <w:sz w:val="16"/>
              </w:rPr>
              <w:t xml:space="preserve">Last 5 days in context  </w:t>
            </w:r>
            <w:r>
              <w:rPr>
                <w:b w:val="0"/>
                <w:i w:val="0"/>
                <w:sz w:val="16"/>
              </w:rPr>
              <w:t>Company news collected today was mixed; the price fell 2.0% over 18–24 Aug, its 2 sector peers -1.3% on average, and the 15 stocks -0.4% on average. So there is no company story in the news, and the move looks sector-wide.</w:t>
            </w:r>
          </w:p>
          <w:p>
            <w:pPr>
              <w:spacing w:after="10" w:line="240" w:lineRule="auto"/>
            </w:pPr>
            <w:r>
              <w:rPr>
                <w:b/>
                <w:i w:val="0"/>
                <w:color w:val="1A2E55"/>
                <w:sz w:val="16"/>
              </w:rPr>
              <w:t xml:space="preserve">News today  </w:t>
            </w:r>
            <w:r>
              <w:rPr>
                <w:b w:val="0"/>
                <w:i w:val="0"/>
                <w:sz w:val="16"/>
              </w:rPr>
              <w:t>50 articles collected today: 22 positive, 15 negative, 13 neutral (mixed). Event tags: dividend, earnings, merger or acquisition, management change, upgrade.</w:t>
            </w:r>
          </w:p>
          <w:p>
            <w:pPr>
              <w:spacing w:after="10" w:line="240" w:lineRule="auto"/>
            </w:pPr>
            <w:r>
              <w:rPr>
                <w:b/>
                <w:i w:val="0"/>
                <w:color w:val="1A2E55"/>
                <w:sz w:val="16"/>
              </w:rPr>
              <w:t xml:space="preserve">Price chart  </w:t>
            </w:r>
            <w:r>
              <w:rPr>
                <w:b w:val="0"/>
                <w:i w:val="0"/>
                <w:sz w:val="16"/>
              </w:rPr>
              <w:t>RSI 67,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+0.52; positive above +0.35, negative below −0.35), and on all 4 earlier recorded days. Without 'Earnings/dividend headlines' it would be neutral.</w:t>
            </w:r>
          </w:p>
          <w:p>
            <w:pPr>
              <w:spacing w:after="10" w:line="240" w:lineRule="auto"/>
            </w:pPr>
            <w:r>
              <w:rPr>
                <w:b/>
                <w:i w:val="0"/>
                <w:color w:val="1A2E55"/>
                <w:sz w:val="16"/>
              </w:rPr>
              <w:t xml:space="preserve">Rules behind the reading  </w:t>
            </w:r>
            <w:r>
              <w:rPr>
                <w:b w:val="0"/>
                <w:i w:val="0"/>
                <w:sz w:val="16"/>
              </w:rPr>
              <w:t>Up: earnings/dividend headlines +0.20,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OCBC Bank maintains a positive outlook driven by a positive geopolitical backdrop, strong corporate events, and weekly positive momentum, with options market positioning and price above VWAP adding short‑term support. Recent news such as OCBC’s record‑high performance and the temporary ceasefire between the US and Iran have reinforced this stance, while the weekly market review highlighted the bank’s best‑performing status in 2026. However, elevated political news volume and negative political tone, coupled with negative RSI momentum, introduce short‑term risk, especially amid ongoing Middle East tensions. Despite these contradictions, the consensus from both rule‑based and ML models leans positive, suggesting a cautiously optimistic view for the next trading day.</w:t>
            </w:r>
          </w:p>
          <w:p>
            <w:pPr>
              <w:spacing w:after="10" w:line="240" w:lineRule="auto"/>
            </w:pPr>
            <w:r>
              <w:rPr>
                <w:b/>
                <w:i w:val="0"/>
                <w:color w:val="1A2E55"/>
                <w:sz w:val="16"/>
              </w:rPr>
              <w:t xml:space="preserve">Forecast lean  </w:t>
            </w:r>
            <w:r>
              <w:rPr>
                <w:b w:val="0"/>
                <w:i w:val="0"/>
                <w:sz w:val="16"/>
              </w:rPr>
              <w:t>Rise over the next 3 trading days (chance 66%); its normal 3-day swing is ±2.8%. Past record on this stock: ✓, but rise-or-fall calls marked ✓ were right only 33%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ComfortDelGro</w:t>
            </w:r>
            <w:r>
              <w:rPr>
                <w:b w:val="0"/>
                <w:i w:val="0"/>
                <w:color w:val="52514E"/>
                <w:sz w:val="17"/>
              </w:rPr>
              <w:t xml:space="preserve">   Consumer Goods  ·  -1.5% over 18–24 Aug</w:t>
            </w:r>
          </w:p>
          <w:p>
            <w:pPr>
              <w:spacing w:after="10" w:line="240" w:lineRule="auto"/>
            </w:pPr>
            <w:r>
              <w:rPr>
                <w:b/>
                <w:i w:val="0"/>
                <w:color w:val="1A2E55"/>
                <w:sz w:val="16"/>
              </w:rPr>
              <w:t xml:space="preserve">In short (AI-written, checked)  </w:t>
            </w:r>
            <w:r>
              <w:rPr>
                <w:b w:val="0"/>
                <w:i w:val="0"/>
                <w:sz w:val="16"/>
              </w:rPr>
              <w:t>ComfortDelGro fell 1.5% over 18–24 Aug. The news today is mixed and already reflected in the price, with no company story to explain the move. The forecast model expects a fall with a 48% chance, a weak signal.</w:t>
            </w:r>
          </w:p>
          <w:p>
            <w:pPr>
              <w:spacing w:after="10" w:line="240" w:lineRule="auto"/>
            </w:pPr>
            <w:r>
              <w:rPr>
                <w:b/>
                <w:i w:val="0"/>
                <w:color w:val="1A2E55"/>
                <w:sz w:val="16"/>
              </w:rPr>
              <w:t xml:space="preserve">What happened  </w:t>
            </w:r>
            <w:r>
              <w:rPr>
                <w:b w:val="0"/>
                <w:i w:val="0"/>
                <w:sz w:val="16"/>
              </w:rPr>
              <w:t>Fell 1.5% over 18–24 Aug, including -2.9% on Wed 19 Aug. Today +0.8%.</w:t>
            </w:r>
          </w:p>
          <w:p>
            <w:pPr>
              <w:spacing w:after="10" w:line="240" w:lineRule="auto"/>
            </w:pPr>
            <w:r>
              <w:rPr>
                <w:b/>
                <w:i w:val="0"/>
                <w:color w:val="1A2E55"/>
                <w:sz w:val="16"/>
              </w:rPr>
              <w:t xml:space="preserve">Today: news vs price  </w:t>
            </w:r>
            <w:r>
              <w:rPr>
                <w:b w:val="0"/>
                <w:i w:val="0"/>
                <w:sz w:val="16"/>
              </w:rPr>
              <w:t>Positive reading and the price rose 0.8%, more than a normal day's ±0.6%: the news already shows in the price. The forecast model expects a pullback. (Pattern: Mean reversion.)</w:t>
            </w:r>
          </w:p>
          <w:p>
            <w:pPr>
              <w:spacing w:after="10" w:line="240" w:lineRule="auto"/>
            </w:pPr>
            <w:r>
              <w:rPr>
                <w:b/>
                <w:i w:val="0"/>
                <w:color w:val="1A2E55"/>
                <w:sz w:val="16"/>
              </w:rPr>
              <w:t xml:space="preserve">Last 5 days in context  </w:t>
            </w:r>
            <w:r>
              <w:rPr>
                <w:b w:val="0"/>
                <w:i w:val="0"/>
                <w:sz w:val="16"/>
              </w:rPr>
              <w:t>Company news collected today was mixed; the price fell 1.5% over 18–24 Aug, its sector peer Wilmar Intl +3.9%, and the 15 stocks -0.4% on average. So there is no company story in the news, and the stock moved more than the market; sector or wider news, outside this report's sources, is the place to look.</w:t>
            </w:r>
          </w:p>
          <w:p>
            <w:pPr>
              <w:spacing w:after="10" w:line="240" w:lineRule="auto"/>
            </w:pPr>
            <w:r>
              <w:rPr>
                <w:b/>
                <w:i w:val="0"/>
                <w:color w:val="1A2E55"/>
                <w:sz w:val="16"/>
              </w:rPr>
              <w:t xml:space="preserve">News today  </w:t>
            </w:r>
            <w:r>
              <w:rPr>
                <w:b w:val="0"/>
                <w:i w:val="0"/>
                <w:sz w:val="16"/>
              </w:rPr>
              <w:t>48 articles collected today: 13 positive, 11 negative, 24 neutral (mixed). Event tags: dividend, earnings, merger or acquisition, upgrade.</w:t>
            </w:r>
          </w:p>
          <w:p>
            <w:pPr>
              <w:spacing w:after="10" w:line="240" w:lineRule="auto"/>
            </w:pPr>
            <w:r>
              <w:rPr>
                <w:b/>
                <w:i w:val="0"/>
                <w:color w:val="1A2E55"/>
                <w:sz w:val="16"/>
              </w:rPr>
              <w:t xml:space="preserve">Headlines  </w:t>
            </w:r>
            <w:r>
              <w:rPr>
                <w:b w:val="0"/>
                <w:i w:val="0"/>
                <w:sz w:val="16"/>
              </w:rPr>
              <w:t>+ “ComfortDelGro Upgraded on 17.6% Upside, 6% Dividend Yield” (Minichart, 18 Aug)   − “ComfortDelGro (SGX:C52) Stock Faces Profit Squeeze Despite Higher Revenue” (simplywall.st, 15 Aug)</w:t>
            </w:r>
          </w:p>
          <w:p>
            <w:pPr>
              <w:spacing w:after="10" w:line="240" w:lineRule="auto"/>
            </w:pPr>
            <w:r>
              <w:rPr>
                <w:b/>
                <w:i w:val="0"/>
                <w:color w:val="1A2E55"/>
                <w:sz w:val="16"/>
              </w:rPr>
              <w:t xml:space="preserve">Price chart  </w:t>
            </w:r>
            <w:r>
              <w:rPr>
                <w:b w:val="0"/>
                <w:i w:val="0"/>
                <w:sz w:val="16"/>
              </w:rPr>
              <w:t>RSI 50, between 30 and 70: no unusually fast move; price above its volume-weighted average.</w:t>
            </w:r>
          </w:p>
          <w:p>
            <w:pPr>
              <w:spacing w:after="10" w:line="240" w:lineRule="auto"/>
            </w:pPr>
            <w:r>
              <w:rPr>
                <w:b/>
                <w:i w:val="0"/>
                <w:color w:val="1A2E55"/>
                <w:sz w:val="16"/>
              </w:rPr>
              <w:t xml:space="preserve">News &amp; signals reading  </w:t>
            </w:r>
            <w:r>
              <w:rPr>
                <w:b w:val="0"/>
                <w:i w:val="0"/>
                <w:sz w:val="16"/>
              </w:rPr>
              <w:t>Positive today (score +0.37; positive above +0.35, negative below −0.35), and on 3 of the 4 earlier recorded days. It needs both 'Earnings/dividend headlines' and the average-price signal: without either it would be neutral.</w:t>
            </w:r>
          </w:p>
          <w:p>
            <w:pPr>
              <w:spacing w:after="10" w:line="240" w:lineRule="auto"/>
            </w:pPr>
            <w:r>
              <w:rPr>
                <w:b/>
                <w:i w:val="0"/>
                <w:color w:val="1A2E55"/>
                <w:sz w:val="16"/>
              </w:rPr>
              <w:t xml:space="preserve">Rules behind the reading  </w:t>
            </w:r>
            <w:r>
              <w:rPr>
                <w:b w:val="0"/>
                <w:i w:val="0"/>
                <w:sz w:val="16"/>
              </w:rPr>
              <w:t>Up: earnings/dividend headlines +0.20,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ComfortDelGro maintains a positive outlook driven by a positive geopolitical backdrop, recent corporate events, positive options market positioning, and a price above VWAP. However, elevated political news volume and negative corporate headlines—such as the company’s removal from the STI and a 17% profit decline—introduce downside risk. Macro concerns around the Iran conflict and commodity selloffs add further caution, and both ML models currently signal a negative next‑day return, though the rule‑based framework remains positive.</w:t>
            </w:r>
          </w:p>
          <w:p>
            <w:pPr>
              <w:spacing w:after="10" w:line="240" w:lineRule="auto"/>
            </w:pPr>
            <w:r>
              <w:rPr>
                <w:b/>
                <w:i w:val="0"/>
                <w:color w:val="1A2E55"/>
                <w:sz w:val="16"/>
              </w:rPr>
              <w:t xml:space="preserve">Forecast lean  </w:t>
            </w:r>
            <w:r>
              <w:rPr>
                <w:b w:val="0"/>
                <w:i w:val="0"/>
                <w:sz w:val="16"/>
              </w:rPr>
              <w:t>Fall over the next 3 trading days (chance 48%); its normal 3-day swing is ±1.9%. Past record on this stock: ✓, but rise-or-fall calls marked ✓ were right only 33% in testing, so treat the direction as unknown.</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DBS Group</w:t>
            </w:r>
            <w:r>
              <w:rPr>
                <w:b w:val="0"/>
                <w:i w:val="0"/>
                <w:color w:val="52514E"/>
                <w:sz w:val="17"/>
              </w:rPr>
              <w:t xml:space="preserve">   Banking  ·  -1.7% over 18–24 Aug</w:t>
            </w:r>
          </w:p>
          <w:p>
            <w:pPr>
              <w:spacing w:after="10" w:line="240" w:lineRule="auto"/>
            </w:pPr>
            <w:r>
              <w:rPr>
                <w:b/>
                <w:i w:val="0"/>
                <w:color w:val="1A2E55"/>
                <w:sz w:val="16"/>
              </w:rPr>
              <w:t xml:space="preserve">In short (AI-written, checked)  </w:t>
            </w:r>
            <w:r>
              <w:rPr>
                <w:b w:val="0"/>
                <w:i w:val="0"/>
                <w:sz w:val="16"/>
              </w:rPr>
              <w:t>DBS Group fell 1.7% over 18–24 Aug. The news today is mostly positive but does not yet appear in the price, and the move looks sector-wide. The forecast model predicts no big move, a weak signal.</w:t>
            </w:r>
          </w:p>
          <w:p>
            <w:pPr>
              <w:spacing w:after="10" w:line="240" w:lineRule="auto"/>
            </w:pPr>
            <w:r>
              <w:rPr>
                <w:b/>
                <w:i w:val="0"/>
                <w:color w:val="1A2E55"/>
                <w:sz w:val="16"/>
              </w:rPr>
              <w:t xml:space="preserve">What happened  </w:t>
            </w:r>
            <w:r>
              <w:rPr>
                <w:b w:val="0"/>
                <w:i w:val="0"/>
                <w:sz w:val="16"/>
              </w:rPr>
              <w:t>Fell 1.7% over 18–24 Aug, most of it on Tue 18 Aug (-1.5%). Today -0.6%.</w:t>
            </w:r>
          </w:p>
          <w:p>
            <w:pPr>
              <w:spacing w:after="10" w:line="240" w:lineRule="auto"/>
            </w:pPr>
            <w:r>
              <w:rPr>
                <w:b/>
                <w:i w:val="0"/>
                <w:color w:val="1A2E55"/>
                <w:sz w:val="16"/>
              </w:rPr>
              <w:t xml:space="preserve">Today: news vs price  </w:t>
            </w:r>
            <w:r>
              <w:rPr>
                <w:b w:val="0"/>
                <w:i w:val="0"/>
                <w:sz w:val="16"/>
              </w:rPr>
              <w:t>Positive reading, but the price fell 0.6%,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Company news collected today was mostly positive; the price fell 1.7% over 18–24 Aug, its 2 sector peers -1.5% on average, and the 15 stocks -0.4% on average. So the company news and the price disagree; the move looks sector-wide.</w:t>
            </w:r>
          </w:p>
          <w:p>
            <w:pPr>
              <w:spacing w:after="10" w:line="240" w:lineRule="auto"/>
            </w:pPr>
            <w:r>
              <w:rPr>
                <w:b/>
                <w:i w:val="0"/>
                <w:color w:val="1A2E55"/>
                <w:sz w:val="16"/>
              </w:rPr>
              <w:t xml:space="preserve">News today  </w:t>
            </w:r>
            <w:r>
              <w:rPr>
                <w:b w:val="0"/>
                <w:i w:val="0"/>
                <w:sz w:val="16"/>
              </w:rPr>
              <w:t>50 articles collected today: 31 positive, 7 negative, 12 neutral (mostly positive). Event tags: dividend, earnings, management change, upgrade.</w:t>
            </w:r>
          </w:p>
          <w:p>
            <w:pPr>
              <w:spacing w:after="10" w:line="240" w:lineRule="auto"/>
            </w:pPr>
            <w:r>
              <w:rPr>
                <w:b/>
                <w:i w:val="0"/>
                <w:color w:val="1A2E55"/>
                <w:sz w:val="16"/>
              </w:rPr>
              <w:t xml:space="preserve">Headlines  </w:t>
            </w:r>
            <w:r>
              <w:rPr>
                <w:b w:val="0"/>
                <w:i w:val="0"/>
                <w:sz w:val="16"/>
              </w:rPr>
              <w:t>+ “DBS sees choppy Q3 for STI as investors pivot from Singapore banks to listcos that are unloc…” (The Business Times, 07 Aug)</w:t>
            </w:r>
          </w:p>
          <w:p>
            <w:pPr>
              <w:spacing w:after="10" w:line="240" w:lineRule="auto"/>
            </w:pPr>
            <w:r>
              <w:rPr>
                <w:b/>
                <w:i w:val="0"/>
                <w:color w:val="1A2E55"/>
                <w:sz w:val="16"/>
              </w:rPr>
              <w:t xml:space="preserve">Price chart  </w:t>
            </w:r>
            <w:r>
              <w:rPr>
                <w:b w:val="0"/>
                <w:i w:val="0"/>
                <w:sz w:val="16"/>
              </w:rPr>
              <w:t>RSI 63,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4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strong quarterly earnings, record share‑price milestones, and a resilient geopolitical backdrop, all of which are reinforced by a positive weekly trend and options market positioning. However, the bank faces headwinds from elevated political news volume and a negative political tone, as well as negative signals from RSI momentum and negative news share. Despite these risks, the consensus from rule‑based analysis outweighs the negative predictions of the LogReg and RandomForest models, supporting a positive outlook for the next trading day.</w:t>
            </w:r>
          </w:p>
          <w:p>
            <w:pPr>
              <w:spacing w:after="10" w:line="240" w:lineRule="auto"/>
            </w:pPr>
            <w:r>
              <w:rPr>
                <w:b/>
                <w:i w:val="0"/>
                <w:color w:val="1A2E55"/>
                <w:sz w:val="16"/>
              </w:rPr>
              <w:t xml:space="preserve">Forecast lean  </w:t>
            </w:r>
            <w:r>
              <w:rPr>
                <w:b w:val="0"/>
                <w:i w:val="0"/>
                <w:sz w:val="16"/>
              </w:rPr>
              <w:t>No big move over the next 3 trading days (chance 89%); its normal 3-day swing is ±1.9%. Past record on this stock: about as good as a simple rule or better (✓), still only a weak signal.</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±0.7%</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98%</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Ascendas REIT</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80%</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UOB</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92%</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±1.7%</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82%</w:t>
            </w:r>
          </w:p>
        </w:tc>
        <w:tc>
          <w:tcPr>
            <w:tcW w:type="dxa" w:w="2016"/>
            <w:shd w:val="clear" w:color="auto" w:fill="E4F3E4"/>
          </w:tcPr>
          <w:p>
            <w:pPr>
              <w:keepNext/>
            </w:pPr>
            <w:r>
              <w:rPr>
                <w:b/>
                <w:i w:val="0"/>
                <w:color w:val="0A6E0A"/>
                <w:sz w:val="16"/>
              </w:rPr>
              <w:t>+20 pts ✓</w:t>
            </w:r>
          </w:p>
        </w:tc>
      </w:tr>
      <w:tr>
        <w:tc>
          <w:tcPr>
            <w:tcW w:type="dxa" w:w="2664"/>
          </w:tcPr>
          <w:p>
            <w:pPr>
              <w:keepNext/>
            </w:pPr>
            <w:r>
              <w:rPr>
                <w:b w:val="0"/>
                <w:i w:val="0"/>
                <w:sz w:val="16"/>
              </w:rPr>
              <w:t>Raffles Medical Group</w:t>
            </w:r>
          </w:p>
        </w:tc>
        <w:tc>
          <w:tcPr>
            <w:tcW w:type="dxa" w:w="1368"/>
          </w:tcPr>
          <w:p>
            <w:pPr>
              <w:keepNext/>
              <w:jc w:val="right"/>
            </w:pPr>
            <w:r>
              <w:rPr>
                <w:b w:val="0"/>
                <w:i w:val="0"/>
                <w:sz w:val="16"/>
              </w:rPr>
              <w:t>±1.8%</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82%</w:t>
            </w:r>
          </w:p>
        </w:tc>
        <w:tc>
          <w:tcPr>
            <w:tcW w:type="dxa" w:w="2016"/>
            <w:shd w:val="clear" w:color="auto" w:fill="FBE1E0"/>
          </w:tcPr>
          <w:p>
            <w:pPr>
              <w:keepNext/>
            </w:pPr>
            <w:r>
              <w:rPr>
                <w:b/>
                <w:i w:val="0"/>
                <w:color w:val="A12D2C"/>
                <w:sz w:val="16"/>
              </w:rPr>
              <w:t>−20 pts ✗</w:t>
            </w:r>
          </w:p>
        </w:tc>
      </w:tr>
      <w:tr>
        <w:tc>
          <w:tcPr>
            <w:tcW w:type="dxa" w:w="2664"/>
          </w:tcPr>
          <w:p>
            <w:pPr>
              <w:keepNext/>
            </w:pPr>
            <w:r>
              <w:rPr>
                <w:b w:val="0"/>
                <w:i w:val="0"/>
                <w:sz w:val="16"/>
              </w:rPr>
              <w:t>DBS Group</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89%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ComfortDelGro</w:t>
            </w:r>
          </w:p>
        </w:tc>
        <w:tc>
          <w:tcPr>
            <w:tcW w:type="dxa" w:w="1368"/>
            <w:shd w:val="clear" w:color="auto" w:fill="F7F7F5"/>
          </w:tcPr>
          <w:p>
            <w:pPr>
              <w:keepNext/>
              <w:jc w:val="right"/>
            </w:pPr>
            <w:r>
              <w:rPr>
                <w:b w:val="0"/>
                <w:i w:val="0"/>
                <w:sz w:val="16"/>
              </w:rPr>
              <w:t>±1.9%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48%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SGX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58%</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±2.5%</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A12D2C"/>
                <w:sz w:val="16"/>
              </w:rPr>
              <w:t>Fall</w:t>
            </w:r>
          </w:p>
        </w:tc>
        <w:tc>
          <w:tcPr>
            <w:tcW w:type="dxa" w:w="1008"/>
            <w:shd w:val="clear" w:color="auto" w:fill="F7F7F5"/>
          </w:tcPr>
          <w:p>
            <w:pPr>
              <w:keepNext/>
              <w:jc w:val="right"/>
            </w:pPr>
            <w:r>
              <w:rPr>
                <w:b w:val="0"/>
                <w:i w:val="0"/>
                <w:sz w:val="16"/>
              </w:rPr>
              <w:t>48%</w:t>
            </w:r>
          </w:p>
        </w:tc>
        <w:tc>
          <w:tcPr>
            <w:tcW w:type="dxa" w:w="2016"/>
            <w:shd w:val="clear" w:color="auto" w:fill="FBE1E0"/>
          </w:tcPr>
          <w:p>
            <w:pPr>
              <w:keepNext/>
            </w:pPr>
            <w:r>
              <w:rPr>
                <w:b/>
                <w:i w:val="0"/>
                <w:color w:val="A12D2C"/>
                <w:sz w:val="16"/>
              </w:rPr>
              <w:t>−80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±2.6%</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73%</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66%</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Wilmar Intl</w:t>
            </w:r>
          </w:p>
        </w:tc>
        <w:tc>
          <w:tcPr>
            <w:tcW w:type="dxa" w:w="1368"/>
          </w:tcPr>
          <w:p>
            <w:pPr>
              <w:keepNext/>
              <w:jc w:val="right"/>
            </w:pPr>
            <w:r>
              <w:rPr>
                <w:b w:val="0"/>
                <w:i w:val="0"/>
                <w:sz w:val="16"/>
              </w:rPr>
              <w:t>±3.0%</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62%</w:t>
            </w:r>
          </w:p>
        </w:tc>
        <w:tc>
          <w:tcPr>
            <w:tcW w:type="dxa" w:w="2016"/>
            <w:shd w:val="clear" w:color="auto" w:fill="E4F3E4"/>
          </w:tcPr>
          <w:p>
            <w:pPr>
              <w:keepNext/>
            </w:pPr>
            <w:r>
              <w:rPr>
                <w:b/>
                <w:i w:val="0"/>
                <w:color w:val="0A6E0A"/>
                <w:sz w:val="16"/>
              </w:rPr>
              <w:t>+40 pts ✓</w:t>
            </w:r>
          </w:p>
        </w:tc>
      </w:tr>
      <w:tr>
        <w:tc>
          <w:tcPr>
            <w:tcW w:type="dxa" w:w="2664"/>
            <w:shd w:val="clear" w:color="auto" w:fill="F7F7F5"/>
          </w:tcPr>
          <w:p>
            <w:pPr>
              <w:keepNext/>
            </w:pPr>
            <w:r>
              <w:rPr>
                <w:b w:val="0"/>
                <w:i w:val="0"/>
                <w:sz w:val="16"/>
              </w:rPr>
              <w:t>Keppel Corp</w:t>
            </w:r>
          </w:p>
        </w:tc>
        <w:tc>
          <w:tcPr>
            <w:tcW w:type="dxa" w:w="1368"/>
            <w:shd w:val="clear" w:color="auto" w:fill="F7F7F5"/>
          </w:tcPr>
          <w:p>
            <w:pPr>
              <w:keepNext/>
              <w:jc w:val="right"/>
            </w:pPr>
            <w:r>
              <w:rPr>
                <w:b w:val="0"/>
                <w:i w:val="0"/>
                <w:sz w:val="16"/>
              </w:rPr>
              <w:t>±3.1%</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79%</w:t>
            </w:r>
          </w:p>
        </w:tc>
        <w:tc>
          <w:tcPr>
            <w:tcW w:type="dxa" w:w="2016"/>
            <w:shd w:val="clear" w:color="auto" w:fill="E4F3E4"/>
          </w:tcPr>
          <w:p>
            <w:pPr>
              <w:keepNext/>
            </w:pPr>
            <w:r>
              <w:rPr>
                <w:b/>
                <w:i w:val="0"/>
                <w:color w:val="0A6E0A"/>
                <w:sz w:val="16"/>
              </w:rPr>
              <w:t>±0 pts ✓</w:t>
            </w:r>
          </w:p>
        </w:tc>
      </w:tr>
      <w:tr>
        <w:tc>
          <w:tcPr>
            <w:tcW w:type="dxa" w:w="2664"/>
          </w:tcPr>
          <w:p>
            <w:r>
              <w:rPr>
                <w:b w:val="0"/>
                <w:i w:val="0"/>
                <w:sz w:val="16"/>
              </w:rPr>
              <w:t>ST Engineering</w:t>
            </w:r>
          </w:p>
        </w:tc>
        <w:tc>
          <w:tcPr>
            <w:tcW w:type="dxa" w:w="1368"/>
          </w:tcPr>
          <w:p>
            <w:pPr>
              <w:jc w:val="right"/>
            </w:pPr>
            <w:r>
              <w:rPr>
                <w:b w:val="0"/>
                <w:i w:val="0"/>
                <w:sz w:val="16"/>
              </w:rPr>
              <w:t>±3.5%</w:t>
            </w:r>
          </w:p>
        </w:tc>
        <w:tc>
          <w:tcPr>
            <w:tcW w:type="dxa" w:w="1440"/>
            <w:shd w:val="clear" w:color="auto" w:fill="DCEAFB"/>
          </w:tcPr>
          <w:p>
            <w:r>
              <w:rPr>
                <w:b/>
                <w:i w:val="0"/>
                <w:color w:val="1C5CAB"/>
                <w:sz w:val="16"/>
              </w:rPr>
              <w:t>✓ calmer</w:t>
            </w:r>
          </w:p>
        </w:tc>
        <w:tc>
          <w:tcPr>
            <w:tcW w:type="dxa" w:w="1440"/>
          </w:tcPr>
          <w:p>
            <w:r>
              <w:rPr>
                <w:b w:val="0"/>
                <w:i w:val="0"/>
                <w:color w:val="52514E"/>
                <w:sz w:val="16"/>
              </w:rPr>
              <w:t>No big move</w:t>
            </w:r>
          </w:p>
        </w:tc>
        <w:tc>
          <w:tcPr>
            <w:tcW w:type="dxa" w:w="1008"/>
          </w:tcPr>
          <w:p>
            <w:pPr>
              <w:jc w:val="right"/>
            </w:pPr>
            <w:r>
              <w:rPr>
                <w:b w:val="0"/>
                <w:i w:val="0"/>
                <w:sz w:val="16"/>
              </w:rPr>
              <w:t>86%</w:t>
            </w:r>
          </w:p>
        </w:tc>
        <w:tc>
          <w:tcPr>
            <w:tcW w:type="dxa" w:w="2016"/>
            <w:shd w:val="clear" w:color="auto" w:fill="E4F3E4"/>
          </w:tcPr>
          <w:p>
            <w:r>
              <w:rPr>
                <w:b/>
                <w:i w:val="0"/>
                <w:color w:val="0A6E0A"/>
                <w:sz w:val="16"/>
              </w:rPr>
              <w:t>+40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DBS Group, ST Engineering, Mapletree Pan Asia Comm. Trust and CapitaLand Integ. Comm. Trust: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42% of 45 past calls, against 51% for always guessing 'no big move'. Calls marked ✓ were right 42%, the rest —, but the gain is in 'no big move' calls (50% right); ✓ rise-or-fall calls were right only 33% of 21, so a ✓ never makes a direction likely. Before its probabilities were refitted, chances of 90% or more were right only 42%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502 company news articles (each read as positive, negative or neutral by FinBERT, a finance language model) and 72 political articles; price-chart indicators (RSI, MACD, Bollinger bands, VWAP, weekly trend); the market backdrop (VIX 15.1, US yield spread); Singapore ETF options positioning (put/call 0.44).</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Dormant (5)</w:t>
            </w:r>
          </w:p>
        </w:tc>
        <w:tc>
          <w:tcPr>
            <w:tcW w:type="dxa" w:w="3312"/>
          </w:tcPr>
          <w:p>
            <w:r>
              <w:rPr>
                <w:b w:val="0"/>
                <w:i w:val="0"/>
                <w:sz w:val="15"/>
              </w:rPr>
              <w:t>DBS Group, CapitaLand Integ. Comm. Trust, Ascendas REIT, Keppel Corp, Raffles Medical Group</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Quiet (5)</w:t>
            </w:r>
          </w:p>
        </w:tc>
        <w:tc>
          <w:tcPr>
            <w:tcW w:type="dxa" w:w="3312"/>
            <w:shd w:val="clear" w:color="auto" w:fill="F7F7F5"/>
          </w:tcPr>
          <w:p>
            <w:r>
              <w:rPr>
                <w:b w:val="0"/>
                <w:i w:val="0"/>
                <w:sz w:val="15"/>
              </w:rPr>
              <w:t>Mapletree Pan Asia Comm. Trust, Mapletree Industrial, Singtel, ST Engineering, Wilmar Intl</w:t>
            </w:r>
          </w:p>
        </w:tc>
        <w:tc>
          <w:tcPr>
            <w:tcW w:type="dxa" w:w="4824"/>
            <w:shd w:val="clear" w:color="auto" w:fill="F7F7F5"/>
          </w:tcPr>
          <w:p>
            <w:r>
              <w:rPr>
                <w:b w:val="0"/>
                <w:i w:val="0"/>
                <w:sz w:val="15"/>
              </w:rPr>
              <w:t>no directional signal today</w:t>
            </w:r>
          </w:p>
        </w:tc>
      </w:tr>
      <w:tr>
        <w:tc>
          <w:tcPr>
            <w:tcW w:type="dxa" w:w="1800"/>
          </w:tcPr>
          <w:p>
            <w:r>
              <w:rPr>
                <w:b/>
                <w:i w:val="0"/>
                <w:sz w:val="15"/>
              </w:rPr>
              <w:t>Muted, pending (2)</w:t>
            </w:r>
          </w:p>
        </w:tc>
        <w:tc>
          <w:tcPr>
            <w:tcW w:type="dxa" w:w="3312"/>
          </w:tcPr>
          <w:p>
            <w:r>
              <w:rPr>
                <w:b w:val="0"/>
                <w:i w:val="0"/>
                <w:sz w:val="15"/>
              </w:rPr>
              <w:t>OCBC Bank, UOB</w:t>
            </w:r>
          </w:p>
        </w:tc>
        <w:tc>
          <w:tcPr>
            <w:tcW w:type="dxa" w:w="4824"/>
          </w:tcPr>
          <w:p>
            <w:r>
              <w:rPr>
                <w:b w:val="0"/>
                <w:i w:val="0"/>
                <w:sz w:val="15"/>
              </w:rPr>
              <w:t>signals leaned one way, price barely moved; the model still expects that direction</w:t>
            </w:r>
          </w:p>
        </w:tc>
      </w:tr>
      <w:tr>
        <w:tc>
          <w:tcPr>
            <w:tcW w:type="dxa" w:w="1800"/>
            <w:shd w:val="clear" w:color="auto" w:fill="F7F7F5"/>
          </w:tcPr>
          <w:p>
            <w:r>
              <w:rPr>
                <w:b/>
                <w:i w:val="0"/>
                <w:sz w:val="15"/>
              </w:rPr>
              <w:t>Noise (1)</w:t>
            </w:r>
          </w:p>
        </w:tc>
        <w:tc>
          <w:tcPr>
            <w:tcW w:type="dxa" w:w="3312"/>
            <w:shd w:val="clear" w:color="auto" w:fill="F7F7F5"/>
          </w:tcPr>
          <w:p>
            <w:r>
              <w:rPr>
                <w:b w:val="0"/>
                <w:i w:val="0"/>
                <w:sz w:val="15"/>
              </w:rPr>
              <w:t>Sembcorp Industries</w:t>
            </w:r>
          </w:p>
        </w:tc>
        <w:tc>
          <w:tcPr>
            <w:tcW w:type="dxa" w:w="4824"/>
            <w:shd w:val="clear" w:color="auto" w:fill="F7F7F5"/>
          </w:tcPr>
          <w:p>
            <w:r>
              <w:rPr>
                <w:b w:val="0"/>
                <w:i w:val="0"/>
                <w:sz w:val="15"/>
              </w:rPr>
              <w:t>price went against the signals; the model has no clear view</w:t>
            </w:r>
          </w:p>
        </w:tc>
      </w:tr>
      <w:tr>
        <w:tc>
          <w:tcPr>
            <w:tcW w:type="dxa" w:w="1800"/>
          </w:tcPr>
          <w:p>
            <w:r>
              <w:rPr>
                <w:b/>
                <w:i w:val="0"/>
                <w:sz w:val="15"/>
              </w:rPr>
              <w:t>Mean reversion (1)</w:t>
            </w:r>
          </w:p>
        </w:tc>
        <w:tc>
          <w:tcPr>
            <w:tcW w:type="dxa" w:w="3312"/>
          </w:tcPr>
          <w:p>
            <w:r>
              <w:rPr>
                <w:b w:val="0"/>
                <w:i w:val="0"/>
                <w:sz w:val="15"/>
              </w:rPr>
              <w:t>ComfortDelGro</w:t>
            </w:r>
          </w:p>
        </w:tc>
        <w:tc>
          <w:tcPr>
            <w:tcW w:type="dxa" w:w="4824"/>
          </w:tcPr>
          <w:p>
            <w:r>
              <w:rPr>
                <w:b w:val="0"/>
                <w:i w:val="0"/>
                <w:sz w:val="15"/>
              </w:rPr>
              <w:t>news and price agreed, but the model expects a pullback</w:t>
            </w:r>
          </w:p>
        </w:tc>
      </w:tr>
      <w:tr>
        <w:tc>
          <w:tcPr>
            <w:tcW w:type="dxa" w:w="1800"/>
            <w:shd w:val="clear" w:color="auto" w:fill="F7F7F5"/>
          </w:tcPr>
          <w:p>
            <w:r>
              <w:rPr>
                <w:b/>
                <w:i w:val="0"/>
                <w:sz w:val="15"/>
              </w:rPr>
              <w:t>Move complete (1)</w:t>
            </w:r>
          </w:p>
        </w:tc>
        <w:tc>
          <w:tcPr>
            <w:tcW w:type="dxa" w:w="3312"/>
            <w:shd w:val="clear" w:color="auto" w:fill="F7F7F5"/>
          </w:tcPr>
          <w:p>
            <w:r>
              <w:rPr>
                <w:b w:val="0"/>
                <w:i w:val="0"/>
                <w:sz w:val="15"/>
              </w:rPr>
              <w:t>SGX Group</w:t>
            </w:r>
          </w:p>
        </w:tc>
        <w:tc>
          <w:tcPr>
            <w:tcW w:type="dxa" w:w="4824"/>
            <w:shd w:val="clear" w:color="auto" w:fill="F7F7F5"/>
          </w:tcPr>
          <w:p>
            <w:r>
              <w:rPr>
                <w:b w:val="0"/>
                <w:i w:val="0"/>
                <w:sz w:val="15"/>
              </w:rPr>
              <w:t>the signals played out today; nothing further expected</w:t>
            </w:r>
          </w:p>
        </w:tc>
      </w:tr>
    </w:tbl>
    <w:p>
      <w:pPr>
        <w:spacing w:after="40"/>
      </w:pPr>
      <w:r>
        <w:rPr>
          <w:b w:val="0"/>
          <w:i w:val="0"/>
          <w:color w:val="52514E"/>
          <w:sz w:val="15"/>
        </w:rPr>
        <w:t>The other patterns in the 11-pattern engine did not occur today; the full set is defined in the final report, Appendix C. The contradiction check rated 0 of 15 readings strongly mixed (named on the cards) and 14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42% of 45 vs 51%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42% of the time (31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42%, others —; the gain is in 'no big move' calls (50%). ✓ rise-or-fall calls: 33% of 21.</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24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