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Monday 31 August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25–31 Aug</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+0.7% on average (10 up, 1 down); over 25–31 Aug they moved +0.8%. Weakest: REIT (-0.7%), Healthcare (+0.0%) and Consumer Goods (+0.7%); strongest: Telecommunications (+2.7%) and Banking (+2.1%).</w:t>
      </w:r>
    </w:p>
    <w:p>
      <w:pPr>
        <w:pStyle w:val="ListBullet"/>
        <w:spacing w:after="40"/>
      </w:pPr>
      <w:r>
        <w:rPr>
          <w:b/>
          <w:i w:val="0"/>
          <w:color w:val="1A2E55"/>
          <w:sz w:val="19"/>
        </w:rPr>
        <w:t xml:space="preserve">Why. </w:t>
      </w:r>
      <w:r>
        <w:rPr>
          <w:b w:val="0"/>
          <w:i w:val="0"/>
          <w:sz w:val="19"/>
        </w:rPr>
        <w:t>Biggest movers over 25–31 Aug: Singtel (+2.7%), DBS Group (+2.4%) and Keppel Corp (+2.2%). Singtel and Keppel Corp moved more than the market without a company news story. For DBS Group, the company news and the price point the same way. See section 2.</w:t>
      </w:r>
    </w:p>
    <w:p>
      <w:pPr>
        <w:pStyle w:val="ListBullet"/>
        <w:spacing w:after="40"/>
      </w:pPr>
      <w:r>
        <w:rPr>
          <w:b/>
          <w:i w:val="0"/>
          <w:color w:val="1A2E55"/>
          <w:sz w:val="19"/>
        </w:rPr>
        <w:t xml:space="preserve">Backdrop. </w:t>
      </w:r>
      <w:r>
        <w:rPr>
          <w:b w:val="0"/>
          <w:i w:val="0"/>
          <w:sz w:val="19"/>
        </w:rPr>
        <w:t>The market backdrop is calm (VIX 14.5), and Singapore ETF options are neutral (put/call 0.19).</w:t>
      </w:r>
    </w:p>
    <w:p>
      <w:pPr>
        <w:pStyle w:val="ListBullet"/>
        <w:spacing w:after="40"/>
      </w:pPr>
      <w:r>
        <w:rPr>
          <w:b/>
          <w:i w:val="0"/>
          <w:color w:val="1A2E55"/>
          <w:sz w:val="19"/>
        </w:rPr>
        <w:t xml:space="preserve">New today. </w:t>
      </w:r>
      <w:r>
        <w:rPr>
          <w:b w:val="0"/>
          <w:i w:val="0"/>
          <w:sz w:val="19"/>
        </w:rPr>
        <w:t>Today's news added a positive signal for DBS Group (already in the price), SGX Group (not yet in the price), Keppel Corp (already in the price), CapitaLand Integ. Comm. Trust (not yet in the price) and ten more. See section 2.</w:t>
      </w:r>
    </w:p>
    <w:p>
      <w:pPr>
        <w:pStyle w:val="ListBullet"/>
        <w:spacing w:after="40"/>
      </w:pPr>
      <w:r>
        <w:rPr>
          <w:b/>
          <w:i w:val="0"/>
          <w:color w:val="1A2E55"/>
          <w:sz w:val="19"/>
        </w:rPr>
        <w:t xml:space="preserve">Next 3 days. </w:t>
      </w:r>
      <w:r>
        <w:rPr>
          <w:b w:val="0"/>
          <w:i w:val="0"/>
          <w:sz w:val="19"/>
        </w:rPr>
        <w:t>The forecast model leans towards a rise for eight stocks and no big move for the rest (only CapitaLand Integ. Comm. Trust, Keppel Corp and ST Engineering with a ✓ record); normal 3-day swings run from ±0.7% (Mapletree Industrial) to ±2.9% (Wilmar Intl), so a bigger move than a stock's own swing would be unusual. See section 3.</w:t>
      </w:r>
    </w:p>
    <w:p>
      <w:pPr>
        <w:pStyle w:val="ListBullet"/>
        <w:spacing w:after="40"/>
      </w:pPr>
      <w:r>
        <w:rPr>
          <w:b/>
          <w:i w:val="0"/>
          <w:color w:val="1A2E55"/>
          <w:sz w:val="19"/>
        </w:rPr>
        <w:t xml:space="preserve">For you. </w:t>
      </w:r>
      <w:r>
        <w:rPr>
          <w:b w:val="0"/>
          <w:i w:val="0"/>
          <w:sz w:val="19"/>
        </w:rPr>
        <w:t>No stock is flagged ⚑ today. The moves in Singtel and Keppel Corp came without company news, so sector or market news is the place to check before reacting. If you prefer less day-to-day movement, Ascendas REIT, Mapletree Industrial, Mapletree Pan Asia Comm. Trust, Wilmar Intl and DBS Group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calm market, VIX below 15; Singapore ETF options lean positive;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25–31 Aug</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DBS Group ★</w:t>
            </w:r>
          </w:p>
        </w:tc>
        <w:tc>
          <w:tcPr>
            <w:tcW w:type="dxa" w:w="662"/>
          </w:tcPr>
          <w:p>
            <w:pPr>
              <w:jc w:val="right"/>
            </w:pPr>
            <w:r>
              <w:rPr>
                <w:b w:val="0"/>
                <w:i w:val="0"/>
                <w:color w:val="1C5CAB"/>
                <w:sz w:val="15"/>
              </w:rPr>
              <w:t>+1.6%</w:t>
            </w:r>
          </w:p>
        </w:tc>
        <w:tc>
          <w:tcPr>
            <w:tcW w:type="dxa" w:w="792"/>
          </w:tcPr>
          <w:p>
            <w:pPr>
              <w:jc w:val="right"/>
            </w:pPr>
            <w:r>
              <w:rPr>
                <w:b w:val="0"/>
                <w:i w:val="0"/>
                <w:color w:val="1C5CAB"/>
                <w:sz w:val="15"/>
              </w:rPr>
              <w:t>+2.4%</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Price agreed</w:t>
            </w:r>
          </w:p>
        </w:tc>
      </w:tr>
      <w:tr>
        <w:tc>
          <w:tcPr>
            <w:tcW w:type="dxa" w:w="360"/>
            <w:shd w:val="clear" w:color="auto" w:fill="F7F7F5"/>
          </w:tcPr>
          <w:p>
            <w:r>
              <w:rPr>
                <w:b w:val="0"/>
                <w:i w:val="0"/>
                <w:sz w:val="15"/>
              </w:rPr>
              <w:t>2</w:t>
            </w:r>
          </w:p>
        </w:tc>
        <w:tc>
          <w:tcPr>
            <w:tcW w:type="dxa" w:w="2189"/>
            <w:shd w:val="clear" w:color="auto" w:fill="F7F7F5"/>
          </w:tcPr>
          <w:p>
            <w:r>
              <w:rPr>
                <w:b w:val="0"/>
                <w:i w:val="0"/>
                <w:sz w:val="15"/>
              </w:rPr>
              <w:t>SGX Group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1C5CAB"/>
                <w:sz w:val="15"/>
              </w:rPr>
              <w:t>+1.4%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3</w:t>
            </w:r>
          </w:p>
        </w:tc>
        <w:tc>
          <w:tcPr>
            <w:tcW w:type="dxa" w:w="2189"/>
          </w:tcPr>
          <w:p>
            <w:r>
              <w:rPr>
                <w:b w:val="0"/>
                <w:i w:val="0"/>
                <w:sz w:val="15"/>
              </w:rPr>
              <w:t>Keppel Corp ★</w:t>
            </w:r>
          </w:p>
        </w:tc>
        <w:tc>
          <w:tcPr>
            <w:tcW w:type="dxa" w:w="662"/>
          </w:tcPr>
          <w:p>
            <w:pPr>
              <w:jc w:val="right"/>
            </w:pPr>
            <w:r>
              <w:rPr>
                <w:b w:val="0"/>
                <w:i w:val="0"/>
                <w:color w:val="1C5CAB"/>
                <w:sz w:val="15"/>
              </w:rPr>
              <w:t>+1.2%</w:t>
            </w:r>
          </w:p>
        </w:tc>
        <w:tc>
          <w:tcPr>
            <w:tcW w:type="dxa" w:w="792"/>
          </w:tcPr>
          <w:p>
            <w:pPr>
              <w:jc w:val="right"/>
            </w:pPr>
            <w:r>
              <w:rPr>
                <w:b w:val="0"/>
                <w:i w:val="0"/>
                <w:color w:val="1C5CAB"/>
                <w:sz w:val="15"/>
              </w:rPr>
              <w:t>+2.2%</w:t>
            </w:r>
          </w:p>
        </w:tc>
        <w:tc>
          <w:tcPr>
            <w:tcW w:type="dxa" w:w="1037"/>
            <w:shd w:val="clear" w:color="auto" w:fill="DCEAFB"/>
          </w:tcPr>
          <w:p>
            <w:r>
              <w:rPr>
                <w:b/>
                <w:i w:val="0"/>
                <w:color w:val="1C5CAB"/>
                <w:sz w:val="15"/>
              </w:rPr>
              <w:t>Positive</w:t>
            </w:r>
          </w:p>
        </w:tc>
        <w:tc>
          <w:tcPr>
            <w:tcW w:type="dxa" w:w="1382"/>
          </w:tcPr>
          <w:p>
            <w:r>
              <w:rPr>
                <w:b w:val="0"/>
                <w:i w:val="0"/>
                <w:sz w:val="15"/>
              </w:rPr>
              <w:t>Mixed (30)</w:t>
            </w:r>
          </w:p>
        </w:tc>
        <w:tc>
          <w:tcPr>
            <w:tcW w:type="dxa" w:w="1872"/>
          </w:tcPr>
          <w:p>
            <w:r>
              <w:rPr>
                <w:b w:val="0"/>
                <w:i w:val="0"/>
                <w:sz w:val="15"/>
              </w:rPr>
              <w:t>Above range · Above avg price</w:t>
            </w:r>
          </w:p>
        </w:tc>
        <w:tc>
          <w:tcPr>
            <w:tcW w:type="dxa" w:w="1642"/>
          </w:tcPr>
          <w:p>
            <w:r>
              <w:rPr>
                <w:b w:val="0"/>
                <w:i w:val="0"/>
                <w:sz w:val="15"/>
              </w:rPr>
              <w:t>Price agreed</w:t>
            </w:r>
          </w:p>
        </w:tc>
      </w:tr>
      <w:tr>
        <w:tc>
          <w:tcPr>
            <w:tcW w:type="dxa" w:w="360"/>
            <w:shd w:val="clear" w:color="auto" w:fill="F7F7F5"/>
          </w:tcPr>
          <w:p>
            <w:r>
              <w:rPr>
                <w:b w:val="0"/>
                <w:i w:val="0"/>
                <w:sz w:val="15"/>
              </w:rPr>
              <w:t>4</w:t>
            </w:r>
          </w:p>
        </w:tc>
        <w:tc>
          <w:tcPr>
            <w:tcW w:type="dxa" w:w="2189"/>
            <w:shd w:val="clear" w:color="auto" w:fill="F7F7F5"/>
          </w:tcPr>
          <w:p>
            <w:r>
              <w:rPr>
                <w:b w:val="0"/>
                <w:i w:val="0"/>
                <w:sz w:val="15"/>
              </w:rPr>
              <w:t>ST Engineering ★</w:t>
            </w:r>
          </w:p>
        </w:tc>
        <w:tc>
          <w:tcPr>
            <w:tcW w:type="dxa" w:w="662"/>
            <w:shd w:val="clear" w:color="auto" w:fill="F7F7F5"/>
          </w:tcPr>
          <w:p>
            <w:pPr>
              <w:jc w:val="right"/>
            </w:pPr>
            <w:r>
              <w:rPr>
                <w:b w:val="0"/>
                <w:i w:val="0"/>
                <w:color w:val="1C5CAB"/>
                <w:sz w:val="15"/>
              </w:rPr>
              <w:t>+1.4%</w:t>
            </w:r>
          </w:p>
        </w:tc>
        <w:tc>
          <w:tcPr>
            <w:tcW w:type="dxa" w:w="792"/>
            <w:shd w:val="clear" w:color="auto" w:fill="F7F7F5"/>
          </w:tcPr>
          <w:p>
            <w:pPr>
              <w:jc w:val="right"/>
            </w:pPr>
            <w:r>
              <w:rPr>
                <w:b w:val="0"/>
                <w:i w:val="0"/>
                <w:color w:val="1C5CAB"/>
                <w:sz w:val="15"/>
              </w:rPr>
              <w:t>+1.4%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(39)</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agreed</w:t>
            </w:r>
          </w:p>
        </w:tc>
      </w:tr>
      <w:tr>
        <w:tc>
          <w:tcPr>
            <w:tcW w:type="dxa" w:w="360"/>
          </w:tcPr>
          <w:p>
            <w:r>
              <w:rPr>
                <w:b w:val="0"/>
                <w:i w:val="0"/>
                <w:sz w:val="15"/>
              </w:rPr>
              <w:t>5</w:t>
            </w:r>
          </w:p>
        </w:tc>
        <w:tc>
          <w:tcPr>
            <w:tcW w:type="dxa" w:w="2189"/>
          </w:tcPr>
          <w:p>
            <w:r>
              <w:rPr>
                <w:b w:val="0"/>
                <w:i w:val="0"/>
                <w:sz w:val="15"/>
              </w:rPr>
              <w:t>CapitaLand Integ. Comm. Trust ★</w:t>
            </w:r>
          </w:p>
        </w:tc>
        <w:tc>
          <w:tcPr>
            <w:tcW w:type="dxa" w:w="662"/>
          </w:tcPr>
          <w:p>
            <w:pPr>
              <w:jc w:val="right"/>
            </w:pPr>
            <w:r>
              <w:rPr>
                <w:b w:val="0"/>
                <w:i w:val="0"/>
                <w:color w:val="52514E"/>
                <w:sz w:val="15"/>
              </w:rPr>
              <w:t>+0.0%</w:t>
            </w:r>
          </w:p>
        </w:tc>
        <w:tc>
          <w:tcPr>
            <w:tcW w:type="dxa" w:w="792"/>
          </w:tcPr>
          <w:p>
            <w:pPr>
              <w:jc w:val="right"/>
            </w:pPr>
            <w:r>
              <w:rPr>
                <w:b w:val="0"/>
                <w:i w:val="0"/>
                <w:color w:val="A12D2C"/>
                <w:sz w:val="15"/>
              </w:rPr>
              <w:t>-1.7%</w:t>
            </w:r>
          </w:p>
        </w:tc>
        <w:tc>
          <w:tcPr>
            <w:tcW w:type="dxa" w:w="1037"/>
            <w:shd w:val="clear" w:color="auto" w:fill="DCEAFB"/>
          </w:tcPr>
          <w:p>
            <w:r>
              <w:rPr>
                <w:b/>
                <w:i w:val="0"/>
                <w:color w:val="1C5CAB"/>
                <w:sz w:val="15"/>
              </w:rPr>
              <w:t>Positive</w:t>
            </w:r>
          </w:p>
        </w:tc>
        <w:tc>
          <w:tcPr>
            <w:tcW w:type="dxa" w:w="1382"/>
          </w:tcPr>
          <w:p>
            <w:r>
              <w:rPr>
                <w:b w:val="0"/>
                <w:i w:val="0"/>
                <w:sz w:val="15"/>
              </w:rPr>
              <w:t>Mostly positive (29)</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6</w:t>
            </w:r>
          </w:p>
        </w:tc>
        <w:tc>
          <w:tcPr>
            <w:tcW w:type="dxa" w:w="2189"/>
            <w:shd w:val="clear" w:color="auto" w:fill="F7F7F5"/>
          </w:tcPr>
          <w:p>
            <w:r>
              <w:rPr>
                <w:b w:val="0"/>
                <w:i w:val="0"/>
                <w:sz w:val="15"/>
              </w:rPr>
              <w:t>Ascendas REIT ★</w:t>
            </w:r>
          </w:p>
        </w:tc>
        <w:tc>
          <w:tcPr>
            <w:tcW w:type="dxa" w:w="662"/>
            <w:shd w:val="clear" w:color="auto" w:fill="F7F7F5"/>
          </w:tcPr>
          <w:p>
            <w:pPr>
              <w:jc w:val="right"/>
            </w:pPr>
            <w:r>
              <w:rPr>
                <w:b w:val="0"/>
                <w:i w:val="0"/>
                <w:color w:val="1C5CAB"/>
                <w:sz w:val="15"/>
              </w:rPr>
              <w:t>+0.8%</w:t>
            </w:r>
          </w:p>
        </w:tc>
        <w:tc>
          <w:tcPr>
            <w:tcW w:type="dxa" w:w="792"/>
            <w:shd w:val="clear" w:color="auto" w:fill="F7F7F5"/>
          </w:tcPr>
          <w:p>
            <w:pPr>
              <w:jc w:val="right"/>
            </w:pPr>
            <w:r>
              <w:rPr>
                <w:b w:val="0"/>
                <w:i w:val="0"/>
                <w:color w:val="52514E"/>
                <w:sz w:val="15"/>
              </w:rPr>
              <w:t>+0.0%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(22)</w:t>
            </w:r>
          </w:p>
        </w:tc>
        <w:tc>
          <w:tcPr>
            <w:tcW w:type="dxa" w:w="1872"/>
            <w:shd w:val="clear" w:color="auto" w:fill="F7F7F5"/>
          </w:tcPr>
          <w:p>
            <w:r>
              <w:rPr>
                <w:b w:val="0"/>
                <w:i w:val="0"/>
                <w:sz w:val="15"/>
              </w:rPr>
              <w:t>—</w:t>
            </w:r>
          </w:p>
        </w:tc>
        <w:tc>
          <w:tcPr>
            <w:tcW w:type="dxa" w:w="1642"/>
            <w:shd w:val="clear" w:color="auto" w:fill="F7F7F5"/>
          </w:tcPr>
          <w:p>
            <w:r>
              <w:rPr>
                <w:b w:val="0"/>
                <w:i w:val="0"/>
                <w:sz w:val="15"/>
              </w:rPr>
              <w:t>Price agreed</w:t>
            </w:r>
          </w:p>
        </w:tc>
      </w:tr>
      <w:tr>
        <w:tc>
          <w:tcPr>
            <w:tcW w:type="dxa" w:w="360"/>
          </w:tcPr>
          <w:p>
            <w:r>
              <w:rPr>
                <w:b w:val="0"/>
                <w:i w:val="0"/>
                <w:sz w:val="15"/>
              </w:rPr>
              <w:t>7</w:t>
            </w:r>
          </w:p>
        </w:tc>
        <w:tc>
          <w:tcPr>
            <w:tcW w:type="dxa" w:w="2189"/>
          </w:tcPr>
          <w:p>
            <w:r>
              <w:rPr>
                <w:b w:val="0"/>
                <w:i w:val="0"/>
                <w:sz w:val="15"/>
              </w:rPr>
              <w:t>OCBC Bank ★</w:t>
            </w:r>
          </w:p>
        </w:tc>
        <w:tc>
          <w:tcPr>
            <w:tcW w:type="dxa" w:w="662"/>
          </w:tcPr>
          <w:p>
            <w:pPr>
              <w:jc w:val="right"/>
            </w:pPr>
            <w:r>
              <w:rPr>
                <w:b w:val="0"/>
                <w:i w:val="0"/>
                <w:color w:val="1C5CAB"/>
                <w:sz w:val="15"/>
              </w:rPr>
              <w:t>+1.4%</w:t>
            </w:r>
          </w:p>
        </w:tc>
        <w:tc>
          <w:tcPr>
            <w:tcW w:type="dxa" w:w="792"/>
          </w:tcPr>
          <w:p>
            <w:pPr>
              <w:jc w:val="right"/>
            </w:pPr>
            <w:r>
              <w:rPr>
                <w:b w:val="0"/>
                <w:i w:val="0"/>
                <w:color w:val="1C5CAB"/>
                <w:sz w:val="15"/>
              </w:rPr>
              <w:t>+1.9%</w:t>
            </w:r>
          </w:p>
        </w:tc>
        <w:tc>
          <w:tcPr>
            <w:tcW w:type="dxa" w:w="1037"/>
            <w:shd w:val="clear" w:color="auto" w:fill="DCEAFB"/>
          </w:tcPr>
          <w:p>
            <w:r>
              <w:rPr>
                <w:b/>
                <w:i w:val="0"/>
                <w:color w:val="1C5CAB"/>
                <w:sz w:val="15"/>
              </w:rPr>
              <w:t>Positive</w:t>
            </w:r>
          </w:p>
        </w:tc>
        <w:tc>
          <w:tcPr>
            <w:tcW w:type="dxa" w:w="1382"/>
          </w:tcPr>
          <w:p>
            <w:r>
              <w:rPr>
                <w:b w:val="0"/>
                <w:i w:val="0"/>
                <w:sz w:val="15"/>
              </w:rPr>
              <w:t>Mixed (50)</w:t>
            </w:r>
          </w:p>
        </w:tc>
        <w:tc>
          <w:tcPr>
            <w:tcW w:type="dxa" w:w="1872"/>
          </w:tcPr>
          <w:p>
            <w:r>
              <w:rPr>
                <w:b w:val="0"/>
                <w:i w:val="0"/>
                <w:sz w:val="15"/>
              </w:rPr>
              <w:t>Weekly up · Above avg price</w:t>
            </w:r>
          </w:p>
        </w:tc>
        <w:tc>
          <w:tcPr>
            <w:tcW w:type="dxa" w:w="1642"/>
          </w:tcPr>
          <w:p>
            <w:r>
              <w:rPr>
                <w:b w:val="0"/>
                <w:i w:val="0"/>
                <w:sz w:val="15"/>
              </w:rPr>
              <w:t>Price agreed</w:t>
            </w:r>
          </w:p>
        </w:tc>
      </w:tr>
      <w:tr>
        <w:tc>
          <w:tcPr>
            <w:tcW w:type="dxa" w:w="360"/>
            <w:shd w:val="clear" w:color="auto" w:fill="F7F7F5"/>
          </w:tcPr>
          <w:p>
            <w:r>
              <w:rPr>
                <w:b w:val="0"/>
                <w:i w:val="0"/>
                <w:sz w:val="15"/>
              </w:rPr>
              <w:t>8</w:t>
            </w:r>
          </w:p>
        </w:tc>
        <w:tc>
          <w:tcPr>
            <w:tcW w:type="dxa" w:w="2189"/>
            <w:shd w:val="clear" w:color="auto" w:fill="F7F7F5"/>
          </w:tcPr>
          <w:p>
            <w:r>
              <w:rPr>
                <w:b w:val="0"/>
                <w:i w:val="0"/>
                <w:sz w:val="15"/>
              </w:rPr>
              <w:t>UOB ★</w:t>
            </w:r>
          </w:p>
        </w:tc>
        <w:tc>
          <w:tcPr>
            <w:tcW w:type="dxa" w:w="662"/>
            <w:shd w:val="clear" w:color="auto" w:fill="F7F7F5"/>
          </w:tcPr>
          <w:p>
            <w:pPr>
              <w:jc w:val="right"/>
            </w:pPr>
            <w:r>
              <w:rPr>
                <w:b w:val="0"/>
                <w:i w:val="0"/>
                <w:color w:val="1C5CAB"/>
                <w:sz w:val="15"/>
              </w:rPr>
              <w:t>+1.9%</w:t>
            </w:r>
          </w:p>
        </w:tc>
        <w:tc>
          <w:tcPr>
            <w:tcW w:type="dxa" w:w="792"/>
            <w:shd w:val="clear" w:color="auto" w:fill="F7F7F5"/>
          </w:tcPr>
          <w:p>
            <w:pPr>
              <w:jc w:val="right"/>
            </w:pPr>
            <w:r>
              <w:rPr>
                <w:b w:val="0"/>
                <w:i w:val="0"/>
                <w:color w:val="1C5CAB"/>
                <w:sz w:val="15"/>
              </w:rPr>
              <w:t>+2.0%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(50)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agreed</w:t>
            </w:r>
          </w:p>
        </w:tc>
      </w:tr>
      <w:tr>
        <w:tc>
          <w:tcPr>
            <w:tcW w:type="dxa" w:w="360"/>
          </w:tcPr>
          <w:p>
            <w:r>
              <w:rPr>
                <w:b w:val="0"/>
                <w:i w:val="0"/>
                <w:sz w:val="15"/>
              </w:rPr>
              <w:t>9</w:t>
            </w:r>
          </w:p>
        </w:tc>
        <w:tc>
          <w:tcPr>
            <w:tcW w:type="dxa" w:w="2189"/>
          </w:tcPr>
          <w:p>
            <w:r>
              <w:rPr>
                <w:b w:val="0"/>
                <w:i w:val="0"/>
                <w:sz w:val="15"/>
              </w:rPr>
              <w:t>Singtel ★</w:t>
            </w:r>
          </w:p>
        </w:tc>
        <w:tc>
          <w:tcPr>
            <w:tcW w:type="dxa" w:w="662"/>
          </w:tcPr>
          <w:p>
            <w:pPr>
              <w:jc w:val="right"/>
            </w:pPr>
            <w:r>
              <w:rPr>
                <w:b w:val="0"/>
                <w:i w:val="0"/>
                <w:color w:val="1C5CAB"/>
                <w:sz w:val="15"/>
              </w:rPr>
              <w:t>+0.4%</w:t>
            </w:r>
          </w:p>
        </w:tc>
        <w:tc>
          <w:tcPr>
            <w:tcW w:type="dxa" w:w="792"/>
          </w:tcPr>
          <w:p>
            <w:pPr>
              <w:jc w:val="right"/>
            </w:pPr>
            <w:r>
              <w:rPr>
                <w:b w:val="0"/>
                <w:i w:val="0"/>
                <w:color w:val="1C5CAB"/>
                <w:sz w:val="15"/>
              </w:rPr>
              <w:t>+2.7%</w:t>
            </w:r>
          </w:p>
        </w:tc>
        <w:tc>
          <w:tcPr>
            <w:tcW w:type="dxa" w:w="1037"/>
            <w:shd w:val="clear" w:color="auto" w:fill="DCEAFB"/>
          </w:tcPr>
          <w:p>
            <w:r>
              <w:rPr>
                <w:b/>
                <w:i w:val="0"/>
                <w:color w:val="1C5CAB"/>
                <w:sz w:val="15"/>
              </w:rPr>
              <w:t>Positive</w:t>
            </w:r>
          </w:p>
        </w:tc>
        <w:tc>
          <w:tcPr>
            <w:tcW w:type="dxa" w:w="1382"/>
          </w:tcPr>
          <w:p>
            <w:r>
              <w:rPr>
                <w:b w:val="0"/>
                <w:i w:val="0"/>
                <w:sz w:val="15"/>
              </w:rPr>
              <w:t>Mixed (45)</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10</w:t>
            </w:r>
          </w:p>
        </w:tc>
        <w:tc>
          <w:tcPr>
            <w:tcW w:type="dxa" w:w="2189"/>
            <w:shd w:val="clear" w:color="auto" w:fill="F7F7F5"/>
          </w:tcPr>
          <w:p>
            <w:r>
              <w:rPr>
                <w:b w:val="0"/>
                <w:i w:val="0"/>
                <w:sz w:val="15"/>
              </w:rPr>
              <w:t>ComfortDelGro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-0.8%</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(41)</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Not yet in the price</w:t>
            </w:r>
          </w:p>
        </w:tc>
      </w:tr>
      <w:tr>
        <w:tc>
          <w:tcPr>
            <w:tcW w:type="dxa" w:w="360"/>
          </w:tcPr>
          <w:p>
            <w:r>
              <w:rPr>
                <w:b w:val="0"/>
                <w:i w:val="0"/>
                <w:sz w:val="15"/>
              </w:rPr>
              <w:t>11</w:t>
            </w:r>
          </w:p>
        </w:tc>
        <w:tc>
          <w:tcPr>
            <w:tcW w:type="dxa" w:w="2189"/>
          </w:tcPr>
          <w:p>
            <w:r>
              <w:rPr>
                <w:b w:val="0"/>
                <w:i w:val="0"/>
                <w:sz w:val="15"/>
              </w:rPr>
              <w:t>Sembcorp Industries ★</w:t>
            </w:r>
          </w:p>
        </w:tc>
        <w:tc>
          <w:tcPr>
            <w:tcW w:type="dxa" w:w="662"/>
          </w:tcPr>
          <w:p>
            <w:pPr>
              <w:jc w:val="right"/>
            </w:pPr>
            <w:r>
              <w:rPr>
                <w:b w:val="0"/>
                <w:i w:val="0"/>
                <w:color w:val="A12D2C"/>
                <w:sz w:val="15"/>
              </w:rPr>
              <w:t>-1.5%</w:t>
            </w:r>
          </w:p>
        </w:tc>
        <w:tc>
          <w:tcPr>
            <w:tcW w:type="dxa" w:w="792"/>
          </w:tcPr>
          <w:p>
            <w:pPr>
              <w:jc w:val="right"/>
            </w:pPr>
            <w:r>
              <w:rPr>
                <w:b w:val="0"/>
                <w:i w:val="0"/>
                <w:color w:val="A12D2C"/>
                <w:sz w:val="15"/>
              </w:rPr>
              <w:t>-1.2%</w:t>
            </w:r>
          </w:p>
        </w:tc>
        <w:tc>
          <w:tcPr>
            <w:tcW w:type="dxa" w:w="1037"/>
            <w:shd w:val="clear" w:color="auto" w:fill="DCEAFB"/>
          </w:tcPr>
          <w:p>
            <w:r>
              <w:rPr>
                <w:b/>
                <w:i w:val="0"/>
                <w:color w:val="1C5CAB"/>
                <w:sz w:val="15"/>
              </w:rPr>
              <w:t>Positive</w:t>
            </w:r>
          </w:p>
        </w:tc>
        <w:tc>
          <w:tcPr>
            <w:tcW w:type="dxa" w:w="1382"/>
          </w:tcPr>
          <w:p>
            <w:r>
              <w:rPr>
                <w:b w:val="0"/>
                <w:i w:val="0"/>
                <w:sz w:val="15"/>
              </w:rPr>
              <w:t>Mixed (21)</w:t>
            </w:r>
          </w:p>
        </w:tc>
        <w:tc>
          <w:tcPr>
            <w:tcW w:type="dxa" w:w="1872"/>
          </w:tcPr>
          <w:p>
            <w:r>
              <w:rPr>
                <w:b w:val="0"/>
                <w:i w:val="0"/>
                <w:sz w:val="15"/>
              </w:rPr>
              <w:t>Above avg price</w:t>
            </w:r>
          </w:p>
        </w:tc>
        <w:tc>
          <w:tcPr>
            <w:tcW w:type="dxa" w:w="1642"/>
          </w:tcPr>
          <w:p>
            <w:r>
              <w:rPr>
                <w:b w:val="0"/>
                <w:i w:val="0"/>
                <w:sz w:val="15"/>
              </w:rPr>
              <w:t>Price went the other way</w:t>
            </w:r>
          </w:p>
        </w:tc>
      </w:tr>
      <w:tr>
        <w:tc>
          <w:tcPr>
            <w:tcW w:type="dxa" w:w="360"/>
            <w:shd w:val="clear" w:color="auto" w:fill="F7F7F5"/>
          </w:tcPr>
          <w:p>
            <w:r>
              <w:rPr>
                <w:b w:val="0"/>
                <w:i w:val="0"/>
                <w:sz w:val="15"/>
              </w:rPr>
              <w:t>12</w:t>
            </w:r>
          </w:p>
        </w:tc>
        <w:tc>
          <w:tcPr>
            <w:tcW w:type="dxa" w:w="2189"/>
            <w:shd w:val="clear" w:color="auto" w:fill="F7F7F5"/>
          </w:tcPr>
          <w:p>
            <w:r>
              <w:rPr>
                <w:b w:val="0"/>
                <w:i w:val="0"/>
                <w:sz w:val="15"/>
              </w:rPr>
              <w:t>Wilmar Intl ★</w:t>
            </w:r>
          </w:p>
        </w:tc>
        <w:tc>
          <w:tcPr>
            <w:tcW w:type="dxa" w:w="662"/>
            <w:shd w:val="clear" w:color="auto" w:fill="F7F7F5"/>
          </w:tcPr>
          <w:p>
            <w:pPr>
              <w:jc w:val="right"/>
            </w:pPr>
            <w:r>
              <w:rPr>
                <w:b w:val="0"/>
                <w:i w:val="0"/>
                <w:color w:val="1C5CAB"/>
                <w:sz w:val="15"/>
              </w:rPr>
              <w:t>+0.8%</w:t>
            </w:r>
          </w:p>
        </w:tc>
        <w:tc>
          <w:tcPr>
            <w:tcW w:type="dxa" w:w="792"/>
            <w:shd w:val="clear" w:color="auto" w:fill="F7F7F5"/>
          </w:tcPr>
          <w:p>
            <w:pPr>
              <w:jc w:val="right"/>
            </w:pPr>
            <w:r>
              <w:rPr>
                <w:b w:val="0"/>
                <w:i w:val="0"/>
                <w:color w:val="1C5CAB"/>
                <w:sz w:val="15"/>
              </w:rPr>
              <w:t>+2.1%</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(21)</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agreed</w:t>
            </w:r>
          </w:p>
        </w:tc>
      </w:tr>
      <w:tr>
        <w:tc>
          <w:tcPr>
            <w:tcW w:type="dxa" w:w="360"/>
          </w:tcPr>
          <w:p>
            <w:r>
              <w:rPr>
                <w:b w:val="0"/>
                <w:i w:val="0"/>
                <w:sz w:val="15"/>
              </w:rPr>
              <w:t>13</w:t>
            </w:r>
          </w:p>
        </w:tc>
        <w:tc>
          <w:tcPr>
            <w:tcW w:type="dxa" w:w="2189"/>
          </w:tcPr>
          <w:p>
            <w:r>
              <w:rPr>
                <w:b w:val="0"/>
                <w:i w:val="0"/>
                <w:sz w:val="15"/>
              </w:rPr>
              <w:t>Mapletree Pan Asia Comm. Trust ★</w:t>
            </w:r>
          </w:p>
        </w:tc>
        <w:tc>
          <w:tcPr>
            <w:tcW w:type="dxa" w:w="662"/>
          </w:tcPr>
          <w:p>
            <w:pPr>
              <w:jc w:val="right"/>
            </w:pPr>
            <w:r>
              <w:rPr>
                <w:b w:val="0"/>
                <w:i w:val="0"/>
                <w:color w:val="52514E"/>
                <w:sz w:val="15"/>
              </w:rPr>
              <w:t>+0.0%</w:t>
            </w:r>
          </w:p>
        </w:tc>
        <w:tc>
          <w:tcPr>
            <w:tcW w:type="dxa" w:w="792"/>
          </w:tcPr>
          <w:p>
            <w:pPr>
              <w:jc w:val="right"/>
            </w:pPr>
            <w:r>
              <w:rPr>
                <w:b w:val="0"/>
                <w:i w:val="0"/>
                <w:color w:val="A12D2C"/>
                <w:sz w:val="15"/>
              </w:rPr>
              <w:t>-1.6%</w:t>
            </w:r>
          </w:p>
        </w:tc>
        <w:tc>
          <w:tcPr>
            <w:tcW w:type="dxa" w:w="1037"/>
            <w:shd w:val="clear" w:color="auto" w:fill="DCEAFB"/>
          </w:tcPr>
          <w:p>
            <w:r>
              <w:rPr>
                <w:b/>
                <w:i w:val="0"/>
                <w:color w:val="1C5CAB"/>
                <w:sz w:val="15"/>
              </w:rPr>
              <w:t>Positive</w:t>
            </w:r>
          </w:p>
        </w:tc>
        <w:tc>
          <w:tcPr>
            <w:tcW w:type="dxa" w:w="1382"/>
          </w:tcPr>
          <w:p>
            <w:r>
              <w:rPr>
                <w:b w:val="0"/>
                <w:i w:val="0"/>
                <w:sz w:val="15"/>
              </w:rPr>
              <w:t>Mixed (15)</w:t>
            </w:r>
          </w:p>
        </w:tc>
        <w:tc>
          <w:tcPr>
            <w:tcW w:type="dxa" w:w="1872"/>
          </w:tcPr>
          <w:p>
            <w:r>
              <w:rPr>
                <w:b w:val="0"/>
                <w:i w:val="0"/>
                <w:sz w:val="15"/>
              </w:rPr>
              <w:t>—</w:t>
            </w:r>
          </w:p>
        </w:tc>
        <w:tc>
          <w:tcPr>
            <w:tcW w:type="dxa" w:w="1642"/>
          </w:tcPr>
          <w:p>
            <w:r>
              <w:rPr>
                <w:b w:val="0"/>
                <w:i w:val="0"/>
                <w:sz w:val="15"/>
              </w:rPr>
              <w:t>Not yet in the price</w:t>
            </w:r>
          </w:p>
        </w:tc>
      </w:tr>
      <w:tr>
        <w:tc>
          <w:tcPr>
            <w:tcW w:type="dxa" w:w="360"/>
            <w:shd w:val="clear" w:color="auto" w:fill="F7F7F5"/>
          </w:tcPr>
          <w:p>
            <w:r>
              <w:rPr>
                <w:b w:val="0"/>
                <w:i w:val="0"/>
                <w:sz w:val="15"/>
              </w:rPr>
              <w:t>14</w:t>
            </w:r>
          </w:p>
        </w:tc>
        <w:tc>
          <w:tcPr>
            <w:tcW w:type="dxa" w:w="2189"/>
            <w:shd w:val="clear" w:color="auto" w:fill="F7F7F5"/>
          </w:tcPr>
          <w:p>
            <w:r>
              <w:rPr>
                <w:b w:val="0"/>
                <w:i w:val="0"/>
                <w:sz w:val="15"/>
              </w:rPr>
              <w:t>Raffles Medical Group ★</w:t>
            </w:r>
          </w:p>
        </w:tc>
        <w:tc>
          <w:tcPr>
            <w:tcW w:type="dxa" w:w="662"/>
            <w:shd w:val="clear" w:color="auto" w:fill="F7F7F5"/>
          </w:tcPr>
          <w:p>
            <w:pPr>
              <w:jc w:val="right"/>
            </w:pPr>
            <w:r>
              <w:rPr>
                <w:b w:val="0"/>
                <w:i w:val="0"/>
                <w:color w:val="1C5CAB"/>
                <w:sz w:val="15"/>
              </w:rPr>
              <w:t>+0.6%</w:t>
            </w:r>
          </w:p>
        </w:tc>
        <w:tc>
          <w:tcPr>
            <w:tcW w:type="dxa" w:w="792"/>
            <w:shd w:val="clear" w:color="auto" w:fill="F7F7F5"/>
          </w:tcPr>
          <w:p>
            <w:pPr>
              <w:jc w:val="right"/>
            </w:pPr>
            <w:r>
              <w:rPr>
                <w:b w:val="0"/>
                <w:i w:val="0"/>
                <w:color w:val="52514E"/>
                <w:sz w:val="15"/>
              </w:rPr>
              <w:t>+0.0%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(24)</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Not yet in the price</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1C5CAB"/>
                <w:sz w:val="15"/>
              </w:rPr>
              <w:t>+1.0%</w:t>
            </w:r>
          </w:p>
        </w:tc>
        <w:tc>
          <w:tcPr>
            <w:tcW w:type="dxa" w:w="792"/>
          </w:tcPr>
          <w:p>
            <w:pPr>
              <w:jc w:val="right"/>
            </w:pPr>
            <w:r>
              <w:rPr>
                <w:b w:val="0"/>
                <w:i w:val="0"/>
                <w:color w:val="1C5CAB"/>
                <w:sz w:val="15"/>
              </w:rPr>
              <w:t>+0.5%</w:t>
            </w:r>
          </w:p>
        </w:tc>
        <w:tc>
          <w:tcPr>
            <w:tcW w:type="dxa" w:w="1037"/>
            <w:shd w:val="clear" w:color="auto" w:fill="EFEEEA"/>
          </w:tcPr>
          <w:p>
            <w:r>
              <w:rPr>
                <w:b/>
                <w:i w:val="0"/>
                <w:color w:val="52514E"/>
                <w:sz w:val="15"/>
              </w:rPr>
              <w:t>Neutral</w:t>
            </w:r>
          </w:p>
        </w:tc>
        <w:tc>
          <w:tcPr>
            <w:tcW w:type="dxa" w:w="1382"/>
          </w:tcPr>
          <w:p>
            <w:r>
              <w:rPr>
                <w:b w:val="0"/>
                <w:i w:val="0"/>
                <w:sz w:val="15"/>
              </w:rPr>
              <w:t>Mostly negative (19)</w:t>
            </w:r>
          </w:p>
        </w:tc>
        <w:tc>
          <w:tcPr>
            <w:tcW w:type="dxa" w:w="1872"/>
          </w:tcPr>
          <w:p>
            <w:r>
              <w:rPr>
                <w:b w:val="0"/>
                <w:i w:val="0"/>
                <w:sz w:val="15"/>
              </w:rPr>
              <w:t>Above avg price</w:t>
            </w:r>
          </w:p>
        </w:tc>
        <w:tc>
          <w:tcPr>
            <w:tcW w:type="dxa" w:w="1642"/>
          </w:tcPr>
          <w:p>
            <w:r>
              <w:rPr>
                <w:b w:val="0"/>
                <w:i w:val="0"/>
                <w:sz w:val="15"/>
              </w:rPr>
              <w:t>Moved without a signal</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25–31 Aug.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8-31.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Keppel Corp</w:t>
            </w:r>
            <w:r>
              <w:rPr>
                <w:b w:val="0"/>
                <w:i w:val="0"/>
                <w:color w:val="52514E"/>
                <w:sz w:val="17"/>
              </w:rPr>
              <w:t xml:space="preserve">   Industrials  ·  +2.2% over 25–31 Aug</w:t>
            </w:r>
          </w:p>
          <w:p>
            <w:pPr>
              <w:spacing w:after="10" w:line="240" w:lineRule="auto"/>
            </w:pPr>
            <w:r>
              <w:rPr>
                <w:b/>
                <w:i w:val="0"/>
                <w:color w:val="1A2E55"/>
                <w:sz w:val="16"/>
              </w:rPr>
              <w:t xml:space="preserve">In short (AI-written, checked)  </w:t>
            </w:r>
            <w:r>
              <w:rPr>
                <w:b w:val="0"/>
                <w:i w:val="0"/>
                <w:sz w:val="16"/>
              </w:rPr>
              <w:t>Keppel Corp rose over 25–31 Aug by +2.2%. The news today is mixed and does not clearly explain the move, but the price already reflects it. The forecast model suggests a rise with a 65% chance, though its record is only a weak signal.</w:t>
            </w:r>
          </w:p>
          <w:p>
            <w:pPr>
              <w:spacing w:after="10" w:line="240" w:lineRule="auto"/>
            </w:pPr>
            <w:r>
              <w:rPr>
                <w:b/>
                <w:i w:val="0"/>
                <w:color w:val="1A2E55"/>
                <w:sz w:val="16"/>
              </w:rPr>
              <w:t xml:space="preserve">What happened  </w:t>
            </w:r>
            <w:r>
              <w:rPr>
                <w:b w:val="0"/>
                <w:i w:val="0"/>
                <w:sz w:val="16"/>
              </w:rPr>
              <w:t>Rose 2.2% over 25–31 Aug; its biggest day was Mon 31 Aug (+1.2%). Today +1.2%.</w:t>
            </w:r>
          </w:p>
          <w:p>
            <w:pPr>
              <w:spacing w:after="10" w:line="240" w:lineRule="auto"/>
            </w:pPr>
            <w:r>
              <w:rPr>
                <w:b/>
                <w:i w:val="0"/>
                <w:color w:val="1A2E55"/>
                <w:sz w:val="16"/>
              </w:rPr>
              <w:t xml:space="preserve">Today: news vs price  </w:t>
            </w:r>
            <w:r>
              <w:rPr>
                <w:b w:val="0"/>
                <w:i w:val="0"/>
                <w:sz w:val="16"/>
              </w:rPr>
              <w:t>Positive reading and the price rose 1.2%, more than a normal day's ±0.6%: the news already shows in the price. The forecast model expects the move to continue. (Pattern: Momentum.)</w:t>
            </w:r>
          </w:p>
          <w:p>
            <w:pPr>
              <w:spacing w:after="10" w:line="240" w:lineRule="auto"/>
            </w:pPr>
            <w:r>
              <w:rPr>
                <w:b/>
                <w:i w:val="0"/>
                <w:color w:val="1A2E55"/>
                <w:sz w:val="16"/>
              </w:rPr>
              <w:t xml:space="preserve">Last 5 days in context  </w:t>
            </w:r>
            <w:r>
              <w:rPr>
                <w:b w:val="0"/>
                <w:i w:val="0"/>
                <w:sz w:val="16"/>
              </w:rPr>
              <w:t>Company news collected today was mixed; the price rose 2.2% over 25–31 Aug, its 2 sector peers +0.1% on average, and the 15 stocks +0.8% on average. So there is no company story in the news, and the stock moved more than the market; sector or wider news, outside this report's sources, is the place to look.</w:t>
            </w:r>
          </w:p>
          <w:p>
            <w:pPr>
              <w:spacing w:after="10" w:line="240" w:lineRule="auto"/>
            </w:pPr>
            <w:r>
              <w:rPr>
                <w:b/>
                <w:i w:val="0"/>
                <w:color w:val="1A2E55"/>
                <w:sz w:val="16"/>
              </w:rPr>
              <w:t xml:space="preserve">News today  </w:t>
            </w:r>
            <w:r>
              <w:rPr>
                <w:b w:val="0"/>
                <w:i w:val="0"/>
                <w:sz w:val="16"/>
              </w:rPr>
              <w:t>30 articles collected today: 9 positive, 6 negative, 15 neutral (mixed). Event tags: dividend, merger or acquisition, profit warning.</w:t>
            </w:r>
          </w:p>
          <w:p>
            <w:pPr>
              <w:spacing w:after="10" w:line="240" w:lineRule="auto"/>
            </w:pPr>
            <w:r>
              <w:rPr>
                <w:b/>
                <w:i w:val="0"/>
                <w:color w:val="1A2E55"/>
                <w:sz w:val="16"/>
              </w:rPr>
              <w:t xml:space="preserve">Headlines  </w:t>
            </w:r>
            <w:r>
              <w:rPr>
                <w:b w:val="0"/>
                <w:i w:val="0"/>
                <w:sz w:val="16"/>
              </w:rPr>
              <w:t>+ “Singapore listcos reach corporate governance 'plateau' amid declining performance; Keppel cl…” (The Business Times, 05 Aug)</w:t>
            </w:r>
          </w:p>
          <w:p>
            <w:pPr>
              <w:spacing w:after="10" w:line="240" w:lineRule="auto"/>
            </w:pPr>
            <w:r>
              <w:rPr>
                <w:b/>
                <w:i w:val="0"/>
                <w:color w:val="1A2E55"/>
                <w:sz w:val="16"/>
              </w:rPr>
              <w:t xml:space="preserve">Price chart  </w:t>
            </w:r>
            <w:r>
              <w:rPr>
                <w:b w:val="0"/>
                <w:i w:val="0"/>
                <w:sz w:val="16"/>
              </w:rPr>
              <w:t>RSI 60, between 30 and 70: no unusually fast move; price above its usual range (Bollinger band); price above its volume-weighted average.</w:t>
            </w:r>
          </w:p>
          <w:p>
            <w:pPr>
              <w:spacing w:after="10" w:line="240" w:lineRule="auto"/>
            </w:pPr>
            <w:r>
              <w:rPr>
                <w:b/>
                <w:i w:val="0"/>
                <w:color w:val="1A2E55"/>
                <w:sz w:val="16"/>
              </w:rPr>
              <w:t xml:space="preserve">News &amp; signals reading  </w:t>
            </w:r>
            <w:r>
              <w:rPr>
                <w:b w:val="0"/>
                <w:i w:val="0"/>
                <w:sz w:val="16"/>
              </w:rPr>
              <w:t>Positive today (score +0.77; positive above +0.35, negative below −0.35), and on all 2 earlier recorded days. No single rule decides it.</w:t>
            </w:r>
          </w:p>
          <w:p>
            <w:pPr>
              <w:spacing w:after="10" w:line="240" w:lineRule="auto"/>
            </w:pPr>
            <w:r>
              <w:rPr>
                <w:b/>
                <w:i w:val="0"/>
                <w:color w:val="1A2E55"/>
                <w:sz w:val="16"/>
              </w:rPr>
              <w:t xml:space="preserve">Rules behind the reading  </w:t>
            </w:r>
            <w:r>
              <w:rPr>
                <w:b w:val="0"/>
                <w:i w:val="0"/>
                <w:sz w:val="16"/>
              </w:rPr>
              <w:t>Up: above usual range +0.24, earnings/dividend headlines +0.20, above average price +0.02. Down: warning/downgrade headlines −0.06. Market-wide: calm market +0.21,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Keppel Corp remains positive on the back of a positive geopolitical backdrop, strong price momentum above the Bollinger upper band, and a risk‑on macro regime that favours industrial growth. Recent corporate moves, such as the Willowville stake sale, and positive options positioning further support the outlook, while ML-model analysis highlights positive corporate events as a key driver. However, elevated political news volume, a negative corporate event (first loss in 20 years), and a negative yield curve spread introduce caution, and the recent commodities selloff could pressure the market if volatility spikes. Overall, the positive stance is tempered by these contradictions, suggesting a watchful but optimistic stance for the near term.</w:t>
            </w:r>
          </w:p>
          <w:p>
            <w:pPr>
              <w:spacing w:after="10" w:line="240" w:lineRule="auto"/>
            </w:pPr>
            <w:r>
              <w:rPr>
                <w:b/>
                <w:i w:val="0"/>
                <w:color w:val="1A2E55"/>
                <w:sz w:val="16"/>
              </w:rPr>
              <w:t xml:space="preserve">Forecast lean  </w:t>
            </w:r>
            <w:r>
              <w:rPr>
                <w:b w:val="0"/>
                <w:i w:val="0"/>
                <w:sz w:val="16"/>
              </w:rPr>
              <w:t>Rise over the next 3 trading days (chance 65%); its normal 3-day swing is ±2.1%. Past record on this stock: ✓, but rise-or-fall calls marked ✓ were right only 31%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CapitaLand Integrated Commercial Trust</w:t>
            </w:r>
            <w:r>
              <w:rPr>
                <w:b w:val="0"/>
                <w:i w:val="0"/>
                <w:color w:val="52514E"/>
                <w:sz w:val="17"/>
              </w:rPr>
              <w:t xml:space="preserve">   REIT  ·  -1.7% over 25–31 Aug</w:t>
            </w:r>
          </w:p>
          <w:p>
            <w:pPr>
              <w:spacing w:after="10" w:line="240" w:lineRule="auto"/>
            </w:pPr>
            <w:r>
              <w:rPr>
                <w:b/>
                <w:i w:val="0"/>
                <w:color w:val="1A2E55"/>
                <w:sz w:val="16"/>
              </w:rPr>
              <w:t xml:space="preserve">In short (AI-written, checked)  </w:t>
            </w:r>
            <w:r>
              <w:rPr>
                <w:b w:val="0"/>
                <w:i w:val="0"/>
                <w:sz w:val="16"/>
              </w:rPr>
              <w:t>CapitaLand Integrated Commercial Trust fell over 25–31 Aug by -1.7%. The news today is mostly positive and has not yet entered the price, so it does not explain the decline. The forecast model expects a rise with a 54% chance, but its record is only a weak signal.</w:t>
            </w:r>
          </w:p>
          <w:p>
            <w:pPr>
              <w:spacing w:after="10" w:line="240" w:lineRule="auto"/>
            </w:pPr>
            <w:r>
              <w:rPr>
                <w:b/>
                <w:i w:val="0"/>
                <w:color w:val="1A2E55"/>
                <w:sz w:val="16"/>
              </w:rPr>
              <w:t xml:space="preserve">What happened  </w:t>
            </w:r>
            <w:r>
              <w:rPr>
                <w:b w:val="0"/>
                <w:i w:val="0"/>
                <w:sz w:val="16"/>
              </w:rPr>
              <w:t>Fell 1.7% over 25–31 Aug; its biggest day was Wed 26 Aug (-0.8%). Today +0.0%.</w:t>
            </w:r>
          </w:p>
          <w:p>
            <w:pPr>
              <w:spacing w:after="10" w:line="240" w:lineRule="auto"/>
            </w:pPr>
            <w:r>
              <w:rPr>
                <w:b/>
                <w:i w:val="0"/>
                <w:color w:val="1A2E55"/>
                <w:sz w:val="16"/>
              </w:rPr>
              <w:t xml:space="preserve">Today: news vs price  </w:t>
            </w:r>
            <w:r>
              <w:rPr>
                <w:b w:val="0"/>
                <w:i w:val="0"/>
                <w:sz w:val="16"/>
              </w:rPr>
              <w:t>Positive reading, but the price was unchanged, within a normal day's ±0.6%: the news has not shown up in the price. The forecast model still expects that direction. (Pattern: Muted, pending.)</w:t>
            </w:r>
          </w:p>
          <w:p>
            <w:pPr>
              <w:spacing w:after="10" w:line="240" w:lineRule="auto"/>
            </w:pPr>
            <w:r>
              <w:rPr>
                <w:b/>
                <w:i w:val="0"/>
                <w:color w:val="1A2E55"/>
                <w:sz w:val="16"/>
              </w:rPr>
              <w:t xml:space="preserve">Last 5 days in context  </w:t>
            </w:r>
            <w:r>
              <w:rPr>
                <w:b w:val="0"/>
                <w:i w:val="0"/>
                <w:sz w:val="16"/>
              </w:rPr>
              <w:t>Company news collected today was mostly positive; the price fell 1.7% over 25–31 Aug, its 3 sector peers -0.3% on average, and the 15 stocks +0.8% on average. So the company news and the price disagree.</w:t>
            </w:r>
          </w:p>
          <w:p>
            <w:pPr>
              <w:spacing w:after="10" w:line="240" w:lineRule="auto"/>
            </w:pPr>
            <w:r>
              <w:rPr>
                <w:b/>
                <w:i w:val="0"/>
                <w:color w:val="1A2E55"/>
                <w:sz w:val="16"/>
              </w:rPr>
              <w:t xml:space="preserve">News today  </w:t>
            </w:r>
            <w:r>
              <w:rPr>
                <w:b w:val="0"/>
                <w:i w:val="0"/>
                <w:sz w:val="16"/>
              </w:rPr>
              <w:t>29 articles collected today: 14 positive, 7 negative, 8 neutral (mostly positive). Event tags: dividend, earnings, merger or acquisition.</w:t>
            </w:r>
          </w:p>
          <w:p>
            <w:pPr>
              <w:spacing w:after="10" w:line="240" w:lineRule="auto"/>
            </w:pPr>
            <w:r>
              <w:rPr>
                <w:b/>
                <w:i w:val="0"/>
                <w:color w:val="1A2E55"/>
                <w:sz w:val="16"/>
              </w:rPr>
              <w:t xml:space="preserve">Headlines  </w:t>
            </w:r>
            <w:r>
              <w:rPr>
                <w:b w:val="0"/>
                <w:i w:val="0"/>
                <w:sz w:val="16"/>
              </w:rPr>
              <w:t>+ “CapitaLand Integrated Commercial Trust and SGX in focus: Weekly Review with SIAS” (Beansprout, 16 Aug)</w:t>
            </w:r>
          </w:p>
          <w:p>
            <w:pPr>
              <w:spacing w:after="10" w:line="240" w:lineRule="auto"/>
            </w:pPr>
            <w:r>
              <w:rPr>
                <w:b/>
                <w:i w:val="0"/>
                <w:color w:val="1A2E55"/>
                <w:sz w:val="16"/>
              </w:rPr>
              <w:t xml:space="preserve">Price chart  </w:t>
            </w:r>
            <w:r>
              <w:rPr>
                <w:b w:val="0"/>
                <w:i w:val="0"/>
                <w:sz w:val="16"/>
              </w:rPr>
              <w:t>RSI 40, between 30 and 70: no unusually fast move; price above its volume-weighted average.</w:t>
            </w:r>
          </w:p>
          <w:p>
            <w:pPr>
              <w:spacing w:after="10" w:line="240" w:lineRule="auto"/>
            </w:pPr>
            <w:r>
              <w:rPr>
                <w:b/>
                <w:i w:val="0"/>
                <w:color w:val="1A2E55"/>
                <w:sz w:val="16"/>
              </w:rPr>
              <w:t xml:space="preserve">News &amp; signals reading  </w:t>
            </w:r>
            <w:r>
              <w:rPr>
                <w:b w:val="0"/>
                <w:i w:val="0"/>
                <w:sz w:val="16"/>
              </w:rPr>
              <w:t>Positive today (score +0.76; positive above +0.35, negative below −0.35), and on all 2 earlier recorded days. No single rule decides it.</w:t>
            </w:r>
          </w:p>
          <w:p>
            <w:pPr>
              <w:spacing w:after="10" w:line="240" w:lineRule="auto"/>
            </w:pPr>
            <w:r>
              <w:rPr>
                <w:b/>
                <w:i w:val="0"/>
                <w:color w:val="1A2E55"/>
                <w:sz w:val="16"/>
              </w:rPr>
              <w:t xml:space="preserve">Rules behind the reading  </w:t>
            </w:r>
            <w:r>
              <w:rPr>
                <w:b w:val="0"/>
                <w:i w:val="0"/>
                <w:sz w:val="16"/>
              </w:rPr>
              <w:t>Up: earnings/dividend headlines +0.20, positive company news +0.18, above average price +0.02. Market-wide: calm market +0.21,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CapitaLand Integrated Commercial Trust remains positive as rule‑based analysis and ML-model evidence highlight a positive geopolitical backdrop, risk‑on macro regime, and strong corporate events such as a S$600m private placement that lifted distribution per unit. Recent company news shows a 7.9% rise in net property income and a 16.4% surge in second‑half distribution, reinforcing the positive sentiment. However, elevated political news volume and negative political tone, along with commodity selloffs and the risk of an Iran‑related recession, introduce cautionary signals that could temper the upside.</w:t>
            </w:r>
          </w:p>
          <w:p>
            <w:pPr>
              <w:spacing w:after="10" w:line="240" w:lineRule="auto"/>
            </w:pPr>
            <w:r>
              <w:rPr>
                <w:b/>
                <w:i w:val="0"/>
                <w:color w:val="1A2E55"/>
                <w:sz w:val="16"/>
              </w:rPr>
              <w:t xml:space="preserve">Forecast lean  </w:t>
            </w:r>
            <w:r>
              <w:rPr>
                <w:b w:val="0"/>
                <w:i w:val="0"/>
                <w:sz w:val="16"/>
              </w:rPr>
              <w:t>Rise over the next 3 trading days (chance 54%); its normal 3-day swing is ±1.5%. Past record on this stock: ✓, but rise-or-fall calls marked ✓ were right only 31%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ST Engineering</w:t>
            </w:r>
            <w:r>
              <w:rPr>
                <w:b w:val="0"/>
                <w:i w:val="0"/>
                <w:color w:val="52514E"/>
                <w:sz w:val="17"/>
              </w:rPr>
              <w:t xml:space="preserve">   Industrials  ·  +1.4% over 25–31 Aug</w:t>
            </w:r>
          </w:p>
          <w:p>
            <w:pPr>
              <w:spacing w:after="10" w:line="240" w:lineRule="auto"/>
            </w:pPr>
            <w:r>
              <w:rPr>
                <w:b/>
                <w:i w:val="0"/>
                <w:color w:val="1A2E55"/>
                <w:sz w:val="16"/>
              </w:rPr>
              <w:t xml:space="preserve">In short (AI-written, checked)  </w:t>
            </w:r>
            <w:r>
              <w:rPr>
                <w:b w:val="0"/>
                <w:i w:val="0"/>
                <w:sz w:val="16"/>
              </w:rPr>
              <w:t>ST Engineering rose over 25–31 Aug by +1.4%. The news today is mostly positive and already in the price, matching the direction of the move. The forecast model expects a rise with a 52% chance, though its record is only a weak signal.</w:t>
            </w:r>
          </w:p>
          <w:p>
            <w:pPr>
              <w:spacing w:after="10" w:line="240" w:lineRule="auto"/>
            </w:pPr>
            <w:r>
              <w:rPr>
                <w:b/>
                <w:i w:val="0"/>
                <w:color w:val="1A2E55"/>
                <w:sz w:val="16"/>
              </w:rPr>
              <w:t xml:space="preserve">What happened  </w:t>
            </w:r>
            <w:r>
              <w:rPr>
                <w:b w:val="0"/>
                <w:i w:val="0"/>
                <w:sz w:val="16"/>
              </w:rPr>
              <w:t>Rose 1.4% over 25–31 Aug; its biggest day was Mon 31 Aug (+1.4%). Today +1.4%.</w:t>
            </w:r>
          </w:p>
          <w:p>
            <w:pPr>
              <w:spacing w:after="10" w:line="240" w:lineRule="auto"/>
            </w:pPr>
            <w:r>
              <w:rPr>
                <w:b/>
                <w:i w:val="0"/>
                <w:color w:val="1A2E55"/>
                <w:sz w:val="16"/>
              </w:rPr>
              <w:t xml:space="preserve">Today: news vs price  </w:t>
            </w:r>
            <w:r>
              <w:rPr>
                <w:b w:val="0"/>
                <w:i w:val="0"/>
                <w:sz w:val="16"/>
              </w:rPr>
              <w:t>Positive reading and the price rose 1.4%, more than a normal day's ±0.6%: the news already shows in the price. The forecast model expects the move to continue. (Pattern: Momentum.)</w:t>
            </w:r>
          </w:p>
          <w:p>
            <w:pPr>
              <w:spacing w:after="10" w:line="240" w:lineRule="auto"/>
            </w:pPr>
            <w:r>
              <w:rPr>
                <w:b/>
                <w:i w:val="0"/>
                <w:color w:val="1A2E55"/>
                <w:sz w:val="16"/>
              </w:rPr>
              <w:t xml:space="preserve">Last 5 days in context  </w:t>
            </w:r>
            <w:r>
              <w:rPr>
                <w:b w:val="0"/>
                <w:i w:val="0"/>
                <w:sz w:val="16"/>
              </w:rPr>
              <w:t>Company news collected today was mostly positive; the price rose 1.4% over 25–31 Aug, its 2 sector peers +0.5% on average, and the 15 stocks +0.8% on average. So the company news and the price point the same way, and the move looks market-wide.</w:t>
            </w:r>
          </w:p>
          <w:p>
            <w:pPr>
              <w:spacing w:after="10" w:line="240" w:lineRule="auto"/>
            </w:pPr>
            <w:r>
              <w:rPr>
                <w:b/>
                <w:i w:val="0"/>
                <w:color w:val="1A2E55"/>
                <w:sz w:val="16"/>
              </w:rPr>
              <w:t xml:space="preserve">News today  </w:t>
            </w:r>
            <w:r>
              <w:rPr>
                <w:b w:val="0"/>
                <w:i w:val="0"/>
                <w:sz w:val="16"/>
              </w:rPr>
              <w:t>39 articles collected today: 17 positive, 9 negative, 13 neutral (mostly positive). Event tags: dividend, earnings, merger or acquisition, management change.</w:t>
            </w:r>
          </w:p>
          <w:p>
            <w:pPr>
              <w:spacing w:after="10" w:line="240" w:lineRule="auto"/>
            </w:pPr>
            <w:r>
              <w:rPr>
                <w:b/>
                <w:i w:val="0"/>
                <w:color w:val="1A2E55"/>
                <w:sz w:val="16"/>
              </w:rPr>
              <w:t xml:space="preserve">Headlines  </w:t>
            </w:r>
            <w:r>
              <w:rPr>
                <w:b w:val="0"/>
                <w:i w:val="0"/>
                <w:sz w:val="16"/>
              </w:rPr>
              <w:t>+ “Nasdaq leads Wall St after Nvidia quells AI fears” (Business Times, 27 Aug)   − “Stocks to watch: UOB, ST Engineering, Sembcorp, Thomson Medical” (Business Times, 27 Aug)</w:t>
            </w:r>
          </w:p>
          <w:p>
            <w:pPr>
              <w:spacing w:after="10" w:line="240" w:lineRule="auto"/>
            </w:pPr>
            <w:r>
              <w:rPr>
                <w:b/>
                <w:i w:val="0"/>
                <w:color w:val="1A2E55"/>
                <w:sz w:val="16"/>
              </w:rPr>
              <w:t xml:space="preserve">Price chart  </w:t>
            </w:r>
            <w:r>
              <w:rPr>
                <w:b w:val="0"/>
                <w:i w:val="0"/>
                <w:sz w:val="16"/>
              </w:rPr>
              <w:t>RSI 52, between 30 and 70: no unusually fast move; price above its volume-weighted average.</w:t>
            </w:r>
          </w:p>
          <w:p>
            <w:pPr>
              <w:spacing w:after="10" w:line="240" w:lineRule="auto"/>
            </w:pPr>
            <w:r>
              <w:rPr>
                <w:b/>
                <w:i w:val="0"/>
                <w:color w:val="1A2E55"/>
                <w:sz w:val="16"/>
              </w:rPr>
              <w:t xml:space="preserve">News &amp; signals reading  </w:t>
            </w:r>
            <w:r>
              <w:rPr>
                <w:b w:val="0"/>
                <w:i w:val="0"/>
                <w:sz w:val="16"/>
              </w:rPr>
              <w:t>Positive today (score +0.76; positive above +0.35, negative below −0.35), and on 1 of the 2 earlier recorded days. No single rule decides it.</w:t>
            </w:r>
          </w:p>
          <w:p>
            <w:pPr>
              <w:spacing w:after="10" w:line="240" w:lineRule="auto"/>
            </w:pPr>
            <w:r>
              <w:rPr>
                <w:b/>
                <w:i w:val="0"/>
                <w:color w:val="1A2E55"/>
                <w:sz w:val="16"/>
              </w:rPr>
              <w:t xml:space="preserve">Rules behind the reading  </w:t>
            </w:r>
            <w:r>
              <w:rPr>
                <w:b w:val="0"/>
                <w:i w:val="0"/>
                <w:sz w:val="16"/>
              </w:rPr>
              <w:t>Up: earnings/dividend headlines +0.20, positive company news +0.18, above average price +0.02. Market-wide: calm market +0.21,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ST Engineering remains positive on the back of a risk‑on macro regime, positive geopolitical backdrop, and strong corporate events such as a 32% share price surge and a growing order book, all corroborated by recent news. Low VIX levels and a robust global equity rebound further reinforce the upside. However, elevated political news volume and a negative political tone introduce negative caution, though the overall positive outlook persists.</w:t>
            </w:r>
          </w:p>
          <w:p>
            <w:pPr>
              <w:spacing w:after="10" w:line="240" w:lineRule="auto"/>
            </w:pPr>
            <w:r>
              <w:rPr>
                <w:b/>
                <w:i w:val="0"/>
                <w:color w:val="1A2E55"/>
                <w:sz w:val="16"/>
              </w:rPr>
              <w:t xml:space="preserve">Forecast lean  </w:t>
            </w:r>
            <w:r>
              <w:rPr>
                <w:b w:val="0"/>
                <w:i w:val="0"/>
                <w:sz w:val="16"/>
              </w:rPr>
              <w:t>Rise over the next 3 trading days (chance 52%); its normal 3-day swing is ±2.8%. Past record on this stock: ✓, but rise-or-fall calls marked ✓ were right only 31% in testing, so treat the direction as unknown.</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±0.7%</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±0.8%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54%</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Ascendas REIT</w:t>
            </w:r>
          </w:p>
        </w:tc>
        <w:tc>
          <w:tcPr>
            <w:tcW w:type="dxa" w:w="1368"/>
          </w:tcPr>
          <w:p>
            <w:pPr>
              <w:keepNext/>
              <w:jc w:val="right"/>
            </w:pPr>
            <w:r>
              <w:rPr>
                <w:b w:val="0"/>
                <w:i w:val="0"/>
                <w:sz w:val="16"/>
              </w:rPr>
              <w:t>±1.1%</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65%</w:t>
            </w:r>
          </w:p>
        </w:tc>
        <w:tc>
          <w:tcPr>
            <w:tcW w:type="dxa" w:w="2016"/>
            <w:shd w:val="clear" w:color="auto" w:fill="E4F3E4"/>
          </w:tcPr>
          <w:p>
            <w:pPr>
              <w:keepNext/>
            </w:pPr>
            <w:r>
              <w:rPr>
                <w:b/>
                <w:i w:val="0"/>
                <w:color w:val="0A6E0A"/>
                <w:sz w:val="16"/>
              </w:rPr>
              <w:t>+29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±1.4%</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55%</w:t>
            </w:r>
          </w:p>
        </w:tc>
        <w:tc>
          <w:tcPr>
            <w:tcW w:type="dxa" w:w="2016"/>
            <w:shd w:val="clear" w:color="auto" w:fill="FBE1E0"/>
          </w:tcPr>
          <w:p>
            <w:pPr>
              <w:keepNext/>
            </w:pPr>
            <w:r>
              <w:rPr>
                <w:b/>
                <w:i w:val="0"/>
                <w:color w:val="A12D2C"/>
                <w:sz w:val="16"/>
              </w:rPr>
              <w:t>−14 pts ✗</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±1.5%</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54%</w:t>
            </w:r>
          </w:p>
        </w:tc>
        <w:tc>
          <w:tcPr>
            <w:tcW w:type="dxa" w:w="2016"/>
            <w:shd w:val="clear" w:color="auto" w:fill="E4F3E4"/>
          </w:tcPr>
          <w:p>
            <w:pPr>
              <w:keepNext/>
            </w:pPr>
            <w:r>
              <w:rPr>
                <w:b/>
                <w:i w:val="0"/>
                <w:color w:val="0A6E0A"/>
                <w:sz w:val="16"/>
              </w:rPr>
              <w:t>+14 pts ✓</w:t>
            </w:r>
          </w:p>
        </w:tc>
      </w:tr>
      <w:tr>
        <w:tc>
          <w:tcPr>
            <w:tcW w:type="dxa" w:w="2664"/>
            <w:shd w:val="clear" w:color="auto" w:fill="F7F7F5"/>
          </w:tcPr>
          <w:p>
            <w:pPr>
              <w:keepNext/>
            </w:pPr>
            <w:r>
              <w:rPr>
                <w:b w:val="0"/>
                <w:i w:val="0"/>
                <w:sz w:val="16"/>
              </w:rPr>
              <w:t>UOB</w:t>
            </w:r>
          </w:p>
        </w:tc>
        <w:tc>
          <w:tcPr>
            <w:tcW w:type="dxa" w:w="1368"/>
            <w:shd w:val="clear" w:color="auto" w:fill="F7F7F5"/>
          </w:tcPr>
          <w:p>
            <w:pPr>
              <w:keepNext/>
              <w:jc w:val="right"/>
            </w:pPr>
            <w:r>
              <w:rPr>
                <w:b w:val="0"/>
                <w:i w:val="0"/>
                <w:sz w:val="16"/>
              </w:rPr>
              <w:t>±1.7%</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60%</w:t>
            </w:r>
          </w:p>
        </w:tc>
        <w:tc>
          <w:tcPr>
            <w:tcW w:type="dxa" w:w="2016"/>
            <w:shd w:val="clear" w:color="auto" w:fill="FBE1E0"/>
          </w:tcPr>
          <w:p>
            <w:pPr>
              <w:keepNext/>
            </w:pPr>
            <w:r>
              <w:rPr>
                <w:b/>
                <w:i w:val="0"/>
                <w:color w:val="A12D2C"/>
                <w:sz w:val="16"/>
              </w:rPr>
              <w:t>−43 pts ✗</w:t>
            </w:r>
          </w:p>
        </w:tc>
      </w:tr>
      <w:tr>
        <w:tc>
          <w:tcPr>
            <w:tcW w:type="dxa" w:w="2664"/>
          </w:tcPr>
          <w:p>
            <w:pPr>
              <w:keepNext/>
            </w:pPr>
            <w:r>
              <w:rPr>
                <w:b w:val="0"/>
                <w:i w:val="0"/>
                <w:sz w:val="16"/>
              </w:rPr>
              <w:t>ComfortDelGro</w:t>
            </w:r>
          </w:p>
        </w:tc>
        <w:tc>
          <w:tcPr>
            <w:tcW w:type="dxa" w:w="1368"/>
          </w:tcPr>
          <w:p>
            <w:pPr>
              <w:keepNext/>
              <w:jc w:val="right"/>
            </w:pPr>
            <w:r>
              <w:rPr>
                <w:b w:val="0"/>
                <w:i w:val="0"/>
                <w:sz w:val="16"/>
              </w:rPr>
              <w:t>±1.8%</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60%</w:t>
            </w:r>
          </w:p>
        </w:tc>
        <w:tc>
          <w:tcPr>
            <w:tcW w:type="dxa" w:w="2016"/>
            <w:shd w:val="clear" w:color="auto" w:fill="FBE1E0"/>
          </w:tcPr>
          <w:p>
            <w:pPr>
              <w:keepNext/>
            </w:pPr>
            <w:r>
              <w:rPr>
                <w:b/>
                <w:i w:val="0"/>
                <w:color w:val="A12D2C"/>
                <w:sz w:val="16"/>
              </w:rPr>
              <w:t>−14 pts ✗</w:t>
            </w:r>
          </w:p>
        </w:tc>
      </w:tr>
      <w:tr>
        <w:tc>
          <w:tcPr>
            <w:tcW w:type="dxa" w:w="2664"/>
            <w:shd w:val="clear" w:color="auto" w:fill="F7F7F5"/>
          </w:tcPr>
          <w:p>
            <w:pPr>
              <w:keepNext/>
            </w:pPr>
            <w:r>
              <w:rPr>
                <w:b w:val="0"/>
                <w:i w:val="0"/>
                <w:sz w:val="16"/>
              </w:rPr>
              <w:t>DBS Group</w:t>
            </w:r>
          </w:p>
        </w:tc>
        <w:tc>
          <w:tcPr>
            <w:tcW w:type="dxa" w:w="1368"/>
            <w:shd w:val="clear" w:color="auto" w:fill="F7F7F5"/>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54%</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SGX Group</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52%</w:t>
            </w:r>
          </w:p>
        </w:tc>
        <w:tc>
          <w:tcPr>
            <w:tcW w:type="dxa" w:w="2016"/>
            <w:shd w:val="clear" w:color="auto" w:fill="FBE1E0"/>
          </w:tcPr>
          <w:p>
            <w:pPr>
              <w:keepNext/>
            </w:pPr>
            <w:r>
              <w:rPr>
                <w:b/>
                <w:i w:val="0"/>
                <w:color w:val="A12D2C"/>
                <w:sz w:val="16"/>
              </w:rPr>
              <w:t>−14 pts ✗</w:t>
            </w:r>
          </w:p>
        </w:tc>
      </w:tr>
      <w:tr>
        <w:tc>
          <w:tcPr>
            <w:tcW w:type="dxa" w:w="2664"/>
            <w:shd w:val="clear" w:color="auto" w:fill="F7F7F5"/>
          </w:tcPr>
          <w:p>
            <w:pPr>
              <w:keepNext/>
            </w:pPr>
            <w:r>
              <w:rPr>
                <w:b w:val="0"/>
                <w:i w:val="0"/>
                <w:sz w:val="16"/>
              </w:rPr>
              <w:t>Keppel Corp</w:t>
            </w:r>
          </w:p>
        </w:tc>
        <w:tc>
          <w:tcPr>
            <w:tcW w:type="dxa" w:w="1368"/>
            <w:shd w:val="clear" w:color="auto" w:fill="F7F7F5"/>
          </w:tcPr>
          <w:p>
            <w:pPr>
              <w:keepNext/>
              <w:jc w:val="right"/>
            </w:pPr>
            <w:r>
              <w:rPr>
                <w:b w:val="0"/>
                <w:i w:val="0"/>
                <w:sz w:val="16"/>
              </w:rPr>
              <w:t>±2.1%</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65%</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Singtel</w:t>
            </w:r>
          </w:p>
        </w:tc>
        <w:tc>
          <w:tcPr>
            <w:tcW w:type="dxa" w:w="1368"/>
          </w:tcPr>
          <w:p>
            <w:pPr>
              <w:keepNext/>
              <w:jc w:val="right"/>
            </w:pPr>
            <w:r>
              <w:rPr>
                <w:b w:val="0"/>
                <w:i w:val="0"/>
                <w:sz w:val="16"/>
              </w:rPr>
              <w:t>±2.3%</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51%</w:t>
            </w:r>
          </w:p>
        </w:tc>
        <w:tc>
          <w:tcPr>
            <w:tcW w:type="dxa" w:w="2016"/>
            <w:shd w:val="clear" w:color="auto" w:fill="FBE1E0"/>
          </w:tcPr>
          <w:p>
            <w:pPr>
              <w:keepNext/>
            </w:pPr>
            <w:r>
              <w:rPr>
                <w:b/>
                <w:i w:val="0"/>
                <w:color w:val="A12D2C"/>
                <w:sz w:val="16"/>
              </w:rPr>
              <w:t>−71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±2.6%</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51%</w:t>
            </w:r>
          </w:p>
        </w:tc>
        <w:tc>
          <w:tcPr>
            <w:tcW w:type="dxa" w:w="2016"/>
            <w:shd w:val="clear" w:color="auto" w:fill="FBE1E0"/>
          </w:tcPr>
          <w:p>
            <w:pPr>
              <w:keepNext/>
            </w:pPr>
            <w:r>
              <w:rPr>
                <w:b/>
                <w:i w:val="0"/>
                <w:color w:val="A12D2C"/>
                <w:sz w:val="16"/>
              </w:rPr>
              <w:t>−14 pts ✗</w:t>
            </w:r>
          </w:p>
        </w:tc>
      </w:tr>
      <w:tr>
        <w:tc>
          <w:tcPr>
            <w:tcW w:type="dxa" w:w="2664"/>
          </w:tcPr>
          <w:p>
            <w:pPr>
              <w:keepNext/>
            </w:pPr>
            <w:r>
              <w:rPr>
                <w:b w:val="0"/>
                <w:i w:val="0"/>
                <w:sz w:val="16"/>
              </w:rPr>
              <w:t>Sembcorp Industries</w:t>
            </w:r>
          </w:p>
        </w:tc>
        <w:tc>
          <w:tcPr>
            <w:tcW w:type="dxa" w:w="1368"/>
          </w:tcPr>
          <w:p>
            <w:pPr>
              <w:keepNext/>
              <w:jc w:val="right"/>
            </w:pPr>
            <w:r>
              <w:rPr>
                <w:b w:val="0"/>
                <w:i w:val="0"/>
                <w:sz w:val="16"/>
              </w:rPr>
              <w:t>±2.6%</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50%</w:t>
            </w:r>
          </w:p>
        </w:tc>
        <w:tc>
          <w:tcPr>
            <w:tcW w:type="dxa" w:w="2016"/>
            <w:shd w:val="clear" w:color="auto" w:fill="FBE1E0"/>
          </w:tcPr>
          <w:p>
            <w:pPr>
              <w:keepNext/>
            </w:pPr>
            <w:r>
              <w:rPr>
                <w:b/>
                <w:i w:val="0"/>
                <w:color w:val="A12D2C"/>
                <w:sz w:val="16"/>
              </w:rPr>
              <w:t>−14 pts ✗</w:t>
            </w:r>
          </w:p>
        </w:tc>
      </w:tr>
      <w:tr>
        <w:tc>
          <w:tcPr>
            <w:tcW w:type="dxa" w:w="2664"/>
            <w:shd w:val="clear" w:color="auto" w:fill="F7F7F5"/>
          </w:tcPr>
          <w:p>
            <w:pPr>
              <w:keepNext/>
            </w:pPr>
            <w:r>
              <w:rPr>
                <w:b w:val="0"/>
                <w:i w:val="0"/>
                <w:sz w:val="16"/>
              </w:rPr>
              <w:t>ST Engineering</w:t>
            </w:r>
          </w:p>
        </w:tc>
        <w:tc>
          <w:tcPr>
            <w:tcW w:type="dxa" w:w="1368"/>
            <w:shd w:val="clear" w:color="auto" w:fill="F7F7F5"/>
          </w:tcPr>
          <w:p>
            <w:pPr>
              <w:keepNext/>
              <w:jc w:val="right"/>
            </w:pPr>
            <w:r>
              <w:rPr>
                <w:b w:val="0"/>
                <w:i w:val="0"/>
                <w:sz w:val="16"/>
              </w:rPr>
              <w:t>±2.8%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52%</w:t>
            </w:r>
          </w:p>
        </w:tc>
        <w:tc>
          <w:tcPr>
            <w:tcW w:type="dxa" w:w="2016"/>
            <w:shd w:val="clear" w:color="auto" w:fill="E4F3E4"/>
          </w:tcPr>
          <w:p>
            <w:pPr>
              <w:keepNext/>
            </w:pPr>
            <w:r>
              <w:rPr>
                <w:b/>
                <w:i w:val="0"/>
                <w:color w:val="0A6E0A"/>
                <w:sz w:val="16"/>
              </w:rPr>
              <w:t>+57 pts ✓</w:t>
            </w:r>
          </w:p>
        </w:tc>
      </w:tr>
      <w:tr>
        <w:tc>
          <w:tcPr>
            <w:tcW w:type="dxa" w:w="2664"/>
          </w:tcPr>
          <w:p>
            <w:r>
              <w:rPr>
                <w:b w:val="0"/>
                <w:i w:val="0"/>
                <w:sz w:val="16"/>
              </w:rPr>
              <w:t>Wilmar Intl</w:t>
            </w:r>
          </w:p>
        </w:tc>
        <w:tc>
          <w:tcPr>
            <w:tcW w:type="dxa" w:w="1368"/>
          </w:tcPr>
          <w:p>
            <w:pPr>
              <w:jc w:val="right"/>
            </w:pPr>
            <w:r>
              <w:rPr>
                <w:b w:val="0"/>
                <w:i w:val="0"/>
                <w:sz w:val="16"/>
              </w:rPr>
              <w:t>±2.9%</w:t>
            </w:r>
          </w:p>
        </w:tc>
        <w:tc>
          <w:tcPr>
            <w:tcW w:type="dxa" w:w="1440"/>
            <w:shd w:val="clear" w:color="auto" w:fill="DCEAFB"/>
          </w:tcPr>
          <w:p>
            <w:r>
              <w:rPr>
                <w:b/>
                <w:i w:val="0"/>
                <w:color w:val="1C5CAB"/>
                <w:sz w:val="16"/>
              </w:rPr>
              <w:t>✓ calmer</w:t>
            </w:r>
          </w:p>
        </w:tc>
        <w:tc>
          <w:tcPr>
            <w:tcW w:type="dxa" w:w="1440"/>
          </w:tcPr>
          <w:p>
            <w:r>
              <w:rPr>
                <w:b w:val="0"/>
                <w:i w:val="0"/>
                <w:color w:val="52514E"/>
                <w:sz w:val="16"/>
              </w:rPr>
              <w:t>No big move</w:t>
            </w:r>
          </w:p>
        </w:tc>
        <w:tc>
          <w:tcPr>
            <w:tcW w:type="dxa" w:w="1008"/>
          </w:tcPr>
          <w:p>
            <w:pPr>
              <w:jc w:val="right"/>
            </w:pPr>
            <w:r>
              <w:rPr>
                <w:b w:val="0"/>
                <w:i w:val="0"/>
                <w:sz w:val="16"/>
              </w:rPr>
              <w:t>55%</w:t>
            </w:r>
          </w:p>
        </w:tc>
        <w:tc>
          <w:tcPr>
            <w:tcW w:type="dxa" w:w="2016"/>
            <w:shd w:val="clear" w:color="auto" w:fill="E4F3E4"/>
          </w:tcPr>
          <w:p>
            <w:r>
              <w:rPr>
                <w:b/>
                <w:i w:val="0"/>
                <w:color w:val="0A6E0A"/>
                <w:sz w:val="16"/>
              </w:rPr>
              <w:t>+29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Ascendas REIT, Mapletree Industrial, Mapletree Pan Asia Comm. Trust, Wilmar Intl and DBS Group: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47% of 105 past calls, against 61% for always guessing 'no big move'. Calls marked ✓ were right 49%, the rest 39%, but the gain is in 'no big move' calls (62% right); ✓ rise-or-fall calls were right only 31% of 32, so a ✓ never makes a direction likely. Before its probabilities were refitted, chances of 90% or more were right only 46%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506 company news articles (each read as positive, negative or neutral by FinBERT, a finance language model) and 72 political articles; price-chart indicators (RSI, MACD, Bollinger bands, VWAP, weekly trend); the market backdrop (VIX 14.5, US yield spread); Singapore ETF options positioning (put/call 0.19).</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Move complete (4)</w:t>
            </w:r>
          </w:p>
        </w:tc>
        <w:tc>
          <w:tcPr>
            <w:tcW w:type="dxa" w:w="3312"/>
          </w:tcPr>
          <w:p>
            <w:r>
              <w:rPr>
                <w:b w:val="0"/>
                <w:i w:val="0"/>
                <w:sz w:val="15"/>
              </w:rPr>
              <w:t>DBS Group, OCBC Bank, Ascendas REIT, Wilmar Intl</w:t>
            </w:r>
          </w:p>
        </w:tc>
        <w:tc>
          <w:tcPr>
            <w:tcW w:type="dxa" w:w="4824"/>
          </w:tcPr>
          <w:p>
            <w:r>
              <w:rPr>
                <w:b w:val="0"/>
                <w:i w:val="0"/>
                <w:sz w:val="15"/>
              </w:rPr>
              <w:t>the signals played out today; nothing further expected</w:t>
            </w:r>
          </w:p>
        </w:tc>
      </w:tr>
      <w:tr>
        <w:tc>
          <w:tcPr>
            <w:tcW w:type="dxa" w:w="1800"/>
            <w:shd w:val="clear" w:color="auto" w:fill="F7F7F5"/>
          </w:tcPr>
          <w:p>
            <w:r>
              <w:rPr>
                <w:b/>
                <w:i w:val="0"/>
                <w:sz w:val="15"/>
              </w:rPr>
              <w:t>Muted, pending (4)</w:t>
            </w:r>
          </w:p>
        </w:tc>
        <w:tc>
          <w:tcPr>
            <w:tcW w:type="dxa" w:w="3312"/>
            <w:shd w:val="clear" w:color="auto" w:fill="F7F7F5"/>
          </w:tcPr>
          <w:p>
            <w:r>
              <w:rPr>
                <w:b w:val="0"/>
                <w:i w:val="0"/>
                <w:sz w:val="15"/>
              </w:rPr>
              <w:t>CapitaLand Integ. Comm. Trust, Singtel, ComfortDelGro, SGX Group</w:t>
            </w:r>
          </w:p>
        </w:tc>
        <w:tc>
          <w:tcPr>
            <w:tcW w:type="dxa" w:w="4824"/>
            <w:shd w:val="clear" w:color="auto" w:fill="F7F7F5"/>
          </w:tcPr>
          <w:p>
            <w:r>
              <w:rPr>
                <w:b w:val="0"/>
                <w:i w:val="0"/>
                <w:sz w:val="15"/>
              </w:rPr>
              <w:t>signals leaned one way, price barely moved; the model still expects that direction</w:t>
            </w:r>
          </w:p>
        </w:tc>
      </w:tr>
      <w:tr>
        <w:tc>
          <w:tcPr>
            <w:tcW w:type="dxa" w:w="1800"/>
          </w:tcPr>
          <w:p>
            <w:r>
              <w:rPr>
                <w:b/>
                <w:i w:val="0"/>
                <w:sz w:val="15"/>
              </w:rPr>
              <w:t>Momentum (3)</w:t>
            </w:r>
          </w:p>
        </w:tc>
        <w:tc>
          <w:tcPr>
            <w:tcW w:type="dxa" w:w="3312"/>
          </w:tcPr>
          <w:p>
            <w:r>
              <w:rPr>
                <w:b w:val="0"/>
                <w:i w:val="0"/>
                <w:sz w:val="15"/>
              </w:rPr>
              <w:t>UOB, Keppel Corp, ST Engineering</w:t>
            </w:r>
          </w:p>
        </w:tc>
        <w:tc>
          <w:tcPr>
            <w:tcW w:type="dxa" w:w="4824"/>
          </w:tcPr>
          <w:p>
            <w:r>
              <w:rPr>
                <w:b w:val="0"/>
                <w:i w:val="0"/>
                <w:sz w:val="15"/>
              </w:rPr>
              <w:t>news and price agreed; the model expects the move to continue</w:t>
            </w:r>
          </w:p>
        </w:tc>
      </w:tr>
      <w:tr>
        <w:tc>
          <w:tcPr>
            <w:tcW w:type="dxa" w:w="1800"/>
            <w:shd w:val="clear" w:color="auto" w:fill="F7F7F5"/>
          </w:tcPr>
          <w:p>
            <w:r>
              <w:rPr>
                <w:b/>
                <w:i w:val="0"/>
                <w:sz w:val="15"/>
              </w:rPr>
              <w:t>Dormant (2)</w:t>
            </w:r>
          </w:p>
        </w:tc>
        <w:tc>
          <w:tcPr>
            <w:tcW w:type="dxa" w:w="3312"/>
            <w:shd w:val="clear" w:color="auto" w:fill="F7F7F5"/>
          </w:tcPr>
          <w:p>
            <w:r>
              <w:rPr>
                <w:b w:val="0"/>
                <w:i w:val="0"/>
                <w:sz w:val="15"/>
              </w:rPr>
              <w:t>Mapletree Pan Asia Comm. Trust, Raffles Medical Group</w:t>
            </w:r>
          </w:p>
        </w:tc>
        <w:tc>
          <w:tcPr>
            <w:tcW w:type="dxa" w:w="4824"/>
            <w:shd w:val="clear" w:color="auto" w:fill="F7F7F5"/>
          </w:tcPr>
          <w:p>
            <w:r>
              <w:rPr>
                <w:b w:val="0"/>
                <w:i w:val="0"/>
                <w:sz w:val="15"/>
              </w:rPr>
              <w:t>a slight lean in the signals; neither price nor model followed</w:t>
            </w:r>
          </w:p>
        </w:tc>
      </w:tr>
      <w:tr>
        <w:tc>
          <w:tcPr>
            <w:tcW w:type="dxa" w:w="1800"/>
          </w:tcPr>
          <w:p>
            <w:r>
              <w:rPr>
                <w:b/>
                <w:i w:val="0"/>
                <w:sz w:val="15"/>
              </w:rPr>
              <w:t>Quiet (1)</w:t>
            </w:r>
          </w:p>
        </w:tc>
        <w:tc>
          <w:tcPr>
            <w:tcW w:type="dxa" w:w="3312"/>
          </w:tcPr>
          <w:p>
            <w:r>
              <w:rPr>
                <w:b w:val="0"/>
                <w:i w:val="0"/>
                <w:sz w:val="15"/>
              </w:rPr>
              <w:t>Mapletree Industrial</w:t>
            </w:r>
          </w:p>
        </w:tc>
        <w:tc>
          <w:tcPr>
            <w:tcW w:type="dxa" w:w="4824"/>
          </w:tcPr>
          <w:p>
            <w:r>
              <w:rPr>
                <w:b w:val="0"/>
                <w:i w:val="0"/>
                <w:sz w:val="15"/>
              </w:rPr>
              <w:t>no directional signal today</w:t>
            </w:r>
          </w:p>
        </w:tc>
      </w:tr>
      <w:tr>
        <w:tc>
          <w:tcPr>
            <w:tcW w:type="dxa" w:w="1800"/>
            <w:shd w:val="clear" w:color="auto" w:fill="F7F7F5"/>
          </w:tcPr>
          <w:p>
            <w:r>
              <w:rPr>
                <w:b/>
                <w:i w:val="0"/>
                <w:sz w:val="15"/>
              </w:rPr>
              <w:t>Lag (1)</w:t>
            </w:r>
          </w:p>
        </w:tc>
        <w:tc>
          <w:tcPr>
            <w:tcW w:type="dxa" w:w="3312"/>
            <w:shd w:val="clear" w:color="auto" w:fill="F7F7F5"/>
          </w:tcPr>
          <w:p>
            <w:r>
              <w:rPr>
                <w:b w:val="0"/>
                <w:i w:val="0"/>
                <w:sz w:val="15"/>
              </w:rPr>
              <w:t>Sembcorp Industries</w:t>
            </w:r>
          </w:p>
        </w:tc>
        <w:tc>
          <w:tcPr>
            <w:tcW w:type="dxa" w:w="4824"/>
            <w:shd w:val="clear" w:color="auto" w:fill="F7F7F5"/>
          </w:tcPr>
          <w:p>
            <w:r>
              <w:rPr>
                <w:b w:val="0"/>
                <w:i w:val="0"/>
                <w:sz w:val="15"/>
              </w:rPr>
              <w:t>price went against the signals; the model sides with the signals</w:t>
            </w:r>
          </w:p>
        </w:tc>
      </w:tr>
    </w:tbl>
    <w:p>
      <w:pPr>
        <w:spacing w:after="40"/>
      </w:pPr>
      <w:r>
        <w:rPr>
          <w:b w:val="0"/>
          <w:i w:val="0"/>
          <w:color w:val="52514E"/>
          <w:sz w:val="15"/>
        </w:rPr>
        <w:t>The other patterns in the 11-pattern engine did not occur today; the full set is defined in the final report, Appendix C. The contradiction check rated 0 of 15 readings strongly mixed (named on the cards) and 11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47% of 105 vs 61%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46% of the time (59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49%, others 39%; the gain is in 'no big move' calls (62%). ✓ rise-or-fall calls: 31% of 32.</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31 Aug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