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Tuesday 01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26 Aug–01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-0.8% on average (1 up, 13 down); over 26–01 Sep they moved -0.5%. Weakest: Financial Services (-1.8%), REIT (-1.3%) and Telecommunications (-0.7%); strongest: Banking (+0.3%) and Industrials (+0.0%).</w:t>
      </w:r>
    </w:p>
    <w:p>
      <w:pPr>
        <w:pStyle w:val="ListBullet"/>
        <w:spacing w:after="40"/>
      </w:pPr>
      <w:r>
        <w:rPr>
          <w:b w:val="0"/>
          <w:i w:val="0"/>
          <w:sz w:val="19"/>
        </w:rPr>
        <w:t>Biggest movers over 26–01 Sep: CapitaLand Integ. Comm. Trust (-2.1%), Ascendas REIT (-2.0%) and SGX Group (-1.8%). Ascendas REIT moved without a company news story; the move looks sector-wide. For CapitaLand Integ. Comm. Trust and SGX Group, the company news and the price disagree. See section 2.</w:t>
      </w:r>
    </w:p>
    <w:p>
      <w:pPr>
        <w:pStyle w:val="ListBullet"/>
        <w:spacing w:after="40"/>
      </w:pPr>
      <w:r>
        <w:rPr>
          <w:b w:val="0"/>
          <w:i w:val="0"/>
          <w:sz w:val="19"/>
        </w:rPr>
        <w:t>The market backdrop is normal (VIX 15.9), and Singapore ETF options are neutral (put/call 0.19).</w:t>
      </w:r>
    </w:p>
    <w:p>
      <w:pPr>
        <w:pStyle w:val="ListBullet"/>
        <w:spacing w:after="40"/>
      </w:pPr>
      <w:r>
        <w:rPr>
          <w:b w:val="0"/>
          <w:i w:val="0"/>
          <w:sz w:val="19"/>
        </w:rPr>
        <w:t>Today's news added a positive signal for DBS Group (the price went the other way), SGX Group (the price went the other way), UOB (not yet in the price), CapitaLand Integ. Comm. Trust (the price went the other way) and four more. See section 2.</w:t>
      </w:r>
    </w:p>
    <w:p>
      <w:pPr>
        <w:pStyle w:val="ListBullet"/>
        <w:spacing w:after="40"/>
      </w:pPr>
      <w:r>
        <w:rPr>
          <w:b w:val="0"/>
          <w:i w:val="0"/>
          <w:sz w:val="19"/>
        </w:rPr>
        <w:t>The forecast model leans towards a rise for four stocks and no big move for the rest (only Keppel Corp and Wilmar Intl with a ✓ record); normal 3-day swings run from ±0.7% (Mapletree Industrial) to ±3.0% (Wilmar Intl), so a bigger move than a stock's own swing would be unusual. See section 3.</w:t>
      </w:r>
    </w:p>
    <w:p>
      <w:pPr>
        <w:pStyle w:val="ListBullet"/>
        <w:spacing w:after="40"/>
      </w:pPr>
      <w:r>
        <w:rPr>
          <w:b w:val="0"/>
          <w:i w:val="0"/>
          <w:sz w:val="19"/>
        </w:rPr>
        <w:t>No stock is flagged ⚑ today. The moves in Ascendas REIT came without company news, so sector or market news is the place to check before reacting. If you prefer less day-to-day movement, SGX Group, ST Engineering, Ascendas REIT, Mapletree Industrial and Mapletree Pan Asia Comm. Trust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26 Aug–01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A12D2C"/>
                <w:sz w:val="15"/>
              </w:rPr>
              <w:t>-0.6%</w:t>
            </w:r>
          </w:p>
        </w:tc>
        <w:tc>
          <w:tcPr>
            <w:tcW w:type="dxa" w:w="792"/>
          </w:tcPr>
          <w:p>
            <w:pPr>
              <w:jc w:val="right"/>
            </w:pPr>
            <w:r>
              <w:rPr>
                <w:b w:val="0"/>
                <w:i w:val="0"/>
                <w:color w:val="1C5CAB"/>
                <w:sz w:val="15"/>
              </w:rPr>
              <w:t>+0.7%</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-2.2%</w:t>
            </w:r>
          </w:p>
        </w:tc>
        <w:tc>
          <w:tcPr>
            <w:tcW w:type="dxa" w:w="792"/>
            <w:shd w:val="clear" w:color="auto" w:fill="F7F7F5"/>
          </w:tcPr>
          <w:p>
            <w:pPr>
              <w:jc w:val="right"/>
            </w:pPr>
            <w:r>
              <w:rPr>
                <w:b w:val="0"/>
                <w:i w:val="0"/>
                <w:color w:val="A12D2C"/>
                <w:sz w:val="15"/>
              </w:rPr>
              <w:t>-1.8%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Trend turned down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3</w:t>
            </w:r>
          </w:p>
        </w:tc>
        <w:tc>
          <w:tcPr>
            <w:tcW w:type="dxa" w:w="2189"/>
          </w:tcPr>
          <w:p>
            <w:r>
              <w:rPr>
                <w:b w:val="0"/>
                <w:i w:val="0"/>
                <w:sz w:val="15"/>
              </w:rPr>
              <w:t>UOB ★</w:t>
            </w:r>
          </w:p>
        </w:tc>
        <w:tc>
          <w:tcPr>
            <w:tcW w:type="dxa" w:w="662"/>
          </w:tcPr>
          <w:p>
            <w:pPr>
              <w:jc w:val="right"/>
            </w:pPr>
            <w:r>
              <w:rPr>
                <w:b w:val="0"/>
                <w:i w:val="0"/>
                <w:color w:val="A12D2C"/>
                <w:sz w:val="15"/>
              </w:rPr>
              <w:t>-0.3%</w:t>
            </w:r>
          </w:p>
        </w:tc>
        <w:tc>
          <w:tcPr>
            <w:tcW w:type="dxa" w:w="792"/>
          </w:tcPr>
          <w:p>
            <w:pPr>
              <w:jc w:val="right"/>
            </w:pPr>
            <w:r>
              <w:rPr>
                <w:b w:val="0"/>
                <w:i w:val="0"/>
                <w:color w:val="1C5CAB"/>
                <w:sz w:val="15"/>
              </w:rPr>
              <w:t>+0.8%</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Trend turned up · 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-2.1%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(30)</w:t>
            </w:r>
          </w:p>
        </w:tc>
        <w:tc>
          <w:tcPr>
            <w:tcW w:type="dxa" w:w="1872"/>
            <w:shd w:val="clear" w:color="auto" w:fill="F7F7F5"/>
          </w:tcPr>
          <w:p>
            <w:r>
              <w:rPr>
                <w:b w:val="0"/>
                <w:i w:val="0"/>
                <w:sz w:val="15"/>
              </w:rPr>
              <w:t>—</w:t>
            </w:r>
          </w:p>
        </w:tc>
        <w:tc>
          <w:tcPr>
            <w:tcW w:type="dxa" w:w="1642"/>
            <w:shd w:val="clear" w:color="auto" w:fill="F7F7F5"/>
          </w:tcPr>
          <w:p>
            <w:r>
              <w:rPr>
                <w:b w:val="0"/>
                <w:i w:val="0"/>
                <w:sz w:val="15"/>
              </w:rPr>
              <w:t>Price went the other way</w:t>
            </w:r>
          </w:p>
        </w:tc>
      </w:tr>
      <w:tr>
        <w:tc>
          <w:tcPr>
            <w:tcW w:type="dxa" w:w="360"/>
          </w:tcPr>
          <w:p>
            <w:r>
              <w:rPr>
                <w:b w:val="0"/>
                <w:i w:val="0"/>
                <w:sz w:val="15"/>
              </w:rPr>
              <w:t>5</w:t>
            </w:r>
          </w:p>
        </w:tc>
        <w:tc>
          <w:tcPr>
            <w:tcW w:type="dxa" w:w="2189"/>
          </w:tcPr>
          <w:p>
            <w:r>
              <w:rPr>
                <w:b w:val="0"/>
                <w:i w:val="0"/>
                <w:sz w:val="15"/>
              </w:rPr>
              <w:t>OCBC Bank ★</w:t>
            </w:r>
          </w:p>
        </w:tc>
        <w:tc>
          <w:tcPr>
            <w:tcW w:type="dxa" w:w="662"/>
          </w:tcPr>
          <w:p>
            <w:pPr>
              <w:jc w:val="right"/>
            </w:pPr>
            <w:r>
              <w:rPr>
                <w:b w:val="0"/>
                <w:i w:val="0"/>
                <w:color w:val="A12D2C"/>
                <w:sz w:val="15"/>
              </w:rPr>
              <w:t>-0.6%</w:t>
            </w:r>
          </w:p>
        </w:tc>
        <w:tc>
          <w:tcPr>
            <w:tcW w:type="dxa" w:w="792"/>
          </w:tcPr>
          <w:p>
            <w:pPr>
              <w:jc w:val="right"/>
            </w:pPr>
            <w:r>
              <w:rPr>
                <w:b w:val="0"/>
                <w:i w:val="0"/>
                <w:color w:val="A12D2C"/>
                <w:sz w:val="15"/>
              </w:rPr>
              <w:t>-0.5%</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A12D2C"/>
                <w:sz w:val="15"/>
              </w:rPr>
              <w:t>-1.8%</w:t>
            </w:r>
          </w:p>
        </w:tc>
        <w:tc>
          <w:tcPr>
            <w:tcW w:type="dxa" w:w="792"/>
            <w:shd w:val="clear" w:color="auto" w:fill="F7F7F5"/>
          </w:tcPr>
          <w:p>
            <w:pPr>
              <w:jc w:val="right"/>
            </w:pPr>
            <w:r>
              <w:rPr>
                <w:b w:val="0"/>
                <w:i w:val="0"/>
                <w:color w:val="A12D2C"/>
                <w:sz w:val="15"/>
              </w:rPr>
              <w:t>-0.7%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(46)</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7</w:t>
            </w:r>
          </w:p>
        </w:tc>
        <w:tc>
          <w:tcPr>
            <w:tcW w:type="dxa" w:w="2189"/>
          </w:tcPr>
          <w:p>
            <w:r>
              <w:rPr>
                <w:b w:val="0"/>
                <w:i w:val="0"/>
                <w:sz w:val="15"/>
              </w:rPr>
              <w:t>Sembcorp Industries ★</w:t>
            </w:r>
          </w:p>
        </w:tc>
        <w:tc>
          <w:tcPr>
            <w:tcW w:type="dxa" w:w="662"/>
          </w:tcPr>
          <w:p>
            <w:pPr>
              <w:jc w:val="right"/>
            </w:pPr>
            <w:r>
              <w:rPr>
                <w:b w:val="0"/>
                <w:i w:val="0"/>
                <w:color w:val="1C5CAB"/>
                <w:sz w:val="15"/>
              </w:rPr>
              <w:t>+2.4%</w:t>
            </w:r>
          </w:p>
        </w:tc>
        <w:tc>
          <w:tcPr>
            <w:tcW w:type="dxa" w:w="792"/>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tcPr>
          <w:p>
            <w:r>
              <w:rPr>
                <w:b w:val="0"/>
                <w:i w:val="0"/>
                <w:sz w:val="15"/>
              </w:rPr>
              <w:t>Mixed (23)</w:t>
            </w:r>
          </w:p>
        </w:tc>
        <w:tc>
          <w:tcPr>
            <w:tcW w:type="dxa" w:w="1872"/>
          </w:tcPr>
          <w:p>
            <w:r>
              <w:rPr>
                <w:b w:val="0"/>
                <w:i w:val="0"/>
                <w:sz w:val="15"/>
              </w:rPr>
              <w:t>Above avg price</w:t>
            </w:r>
          </w:p>
        </w:tc>
        <w:tc>
          <w:tcPr>
            <w:tcW w:type="dxa" w:w="1642"/>
          </w:tcPr>
          <w:p>
            <w:r>
              <w:rPr>
                <w:b w:val="0"/>
                <w:i w:val="0"/>
                <w:sz w:val="15"/>
              </w:rPr>
              <w:t>Price agreed</w:t>
            </w:r>
          </w:p>
        </w:tc>
      </w:tr>
      <w:tr>
        <w:tc>
          <w:tcPr>
            <w:tcW w:type="dxa" w:w="360"/>
            <w:shd w:val="clear" w:color="auto" w:fill="F7F7F5"/>
          </w:tcPr>
          <w:p>
            <w:r>
              <w:rPr>
                <w:b w:val="0"/>
                <w:i w:val="0"/>
                <w:sz w:val="15"/>
              </w:rPr>
              <w:t>8</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A12D2C"/>
                <w:sz w:val="15"/>
              </w:rPr>
              <w:t>-2.1%</w:t>
            </w:r>
          </w:p>
        </w:tc>
        <w:tc>
          <w:tcPr>
            <w:tcW w:type="dxa" w:w="792"/>
            <w:shd w:val="clear" w:color="auto" w:fill="F7F7F5"/>
          </w:tcPr>
          <w:p>
            <w:pPr>
              <w:jc w:val="right"/>
            </w:pPr>
            <w:r>
              <w:rPr>
                <w:b w:val="0"/>
                <w:i w:val="0"/>
                <w:color w:val="52514E"/>
                <w:sz w:val="15"/>
              </w:rPr>
              <w:t>+0.3%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9</w:t>
            </w:r>
          </w:p>
        </w:tc>
        <w:tc>
          <w:tcPr>
            <w:tcW w:type="dxa" w:w="2189"/>
          </w:tcPr>
          <w:p>
            <w:r>
              <w:rPr>
                <w:b w:val="0"/>
                <w:i w:val="0"/>
                <w:sz w:val="15"/>
              </w:rPr>
              <w:t>ComfortDelGro ★</w:t>
            </w:r>
          </w:p>
        </w:tc>
        <w:tc>
          <w:tcPr>
            <w:tcW w:type="dxa" w:w="662"/>
          </w:tcPr>
          <w:p>
            <w:pPr>
              <w:jc w:val="right"/>
            </w:pPr>
            <w:r>
              <w:rPr>
                <w:b w:val="0"/>
                <w:i w:val="0"/>
                <w:color w:val="A12D2C"/>
                <w:sz w:val="15"/>
              </w:rPr>
              <w:t>-0.8%</w:t>
            </w:r>
          </w:p>
        </w:tc>
        <w:tc>
          <w:tcPr>
            <w:tcW w:type="dxa" w:w="792"/>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tcPr>
          <w:p>
            <w:r>
              <w:rPr>
                <w:b w:val="0"/>
                <w:i w:val="0"/>
                <w:sz w:val="15"/>
              </w:rPr>
              <w:t>Mixed (28)</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A12D2C"/>
                <w:sz w:val="15"/>
              </w:rPr>
              <w:t>-1.6%</w:t>
            </w:r>
          </w:p>
        </w:tc>
        <w:tc>
          <w:tcPr>
            <w:tcW w:type="dxa" w:w="792"/>
            <w:shd w:val="clear" w:color="auto" w:fill="F7F7F5"/>
          </w:tcPr>
          <w:p>
            <w:pPr>
              <w:jc w:val="right"/>
            </w:pPr>
            <w:r>
              <w:rPr>
                <w:b w:val="0"/>
                <w:i w:val="0"/>
                <w:color w:val="A12D2C"/>
                <w:sz w:val="15"/>
              </w:rPr>
              <w:t>-2.0%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(21)</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11</w:t>
            </w:r>
          </w:p>
        </w:tc>
        <w:tc>
          <w:tcPr>
            <w:tcW w:type="dxa" w:w="2189"/>
          </w:tcPr>
          <w:p>
            <w:r>
              <w:rPr>
                <w:b w:val="0"/>
                <w:i w:val="0"/>
                <w:sz w:val="15"/>
              </w:rPr>
              <w:t>Mapletree Pan Asia Comm. Trust ★</w:t>
            </w:r>
          </w:p>
        </w:tc>
        <w:tc>
          <w:tcPr>
            <w:tcW w:type="dxa" w:w="662"/>
          </w:tcPr>
          <w:p>
            <w:pPr>
              <w:jc w:val="right"/>
            </w:pPr>
            <w:r>
              <w:rPr>
                <w:b w:val="0"/>
                <w:i w:val="0"/>
                <w:color w:val="A12D2C"/>
                <w:sz w:val="15"/>
              </w:rPr>
              <w:t>-0.8%</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(17)</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52514E"/>
                <w:sz w:val="15"/>
              </w:rPr>
              <w:t>-0.3%</w:t>
            </w:r>
          </w:p>
        </w:tc>
        <w:tc>
          <w:tcPr>
            <w:tcW w:type="dxa" w:w="792"/>
            <w:shd w:val="clear" w:color="auto" w:fill="F7F7F5"/>
          </w:tcPr>
          <w:p>
            <w:pPr>
              <w:jc w:val="right"/>
            </w:pPr>
            <w:r>
              <w:rPr>
                <w:b w:val="0"/>
                <w:i w:val="0"/>
                <w:color w:val="1C5CAB"/>
                <w:sz w:val="15"/>
              </w:rPr>
              <w:t>+1.1%</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ST Engineering ★</w:t>
            </w:r>
          </w:p>
        </w:tc>
        <w:tc>
          <w:tcPr>
            <w:tcW w:type="dxa" w:w="662"/>
          </w:tcPr>
          <w:p>
            <w:pPr>
              <w:jc w:val="right"/>
            </w:pPr>
            <w:r>
              <w:rPr>
                <w:b w:val="0"/>
                <w:i w:val="0"/>
                <w:color w:val="A12D2C"/>
                <w:sz w:val="15"/>
              </w:rPr>
              <w:t>-1.9%</w:t>
            </w:r>
          </w:p>
        </w:tc>
        <w:tc>
          <w:tcPr>
            <w:tcW w:type="dxa" w:w="792"/>
          </w:tcPr>
          <w:p>
            <w:pPr>
              <w:jc w:val="right"/>
            </w:pPr>
            <w:r>
              <w:rPr>
                <w:b w:val="0"/>
                <w:i w:val="0"/>
                <w:color w:val="A12D2C"/>
                <w:sz w:val="15"/>
              </w:rPr>
              <w:t>-1.2%</w:t>
            </w:r>
          </w:p>
        </w:tc>
        <w:tc>
          <w:tcPr>
            <w:tcW w:type="dxa" w:w="1037"/>
            <w:shd w:val="clear" w:color="auto" w:fill="EFEEEA"/>
          </w:tcPr>
          <w:p>
            <w:r>
              <w:rPr>
                <w:b/>
                <w:i w:val="0"/>
                <w:color w:val="52514E"/>
                <w:sz w:val="15"/>
              </w:rPr>
              <w:t>Neutral</w:t>
            </w:r>
          </w:p>
        </w:tc>
        <w:tc>
          <w:tcPr>
            <w:tcW w:type="dxa" w:w="1382"/>
          </w:tcPr>
          <w:p>
            <w:r>
              <w:rPr>
                <w:b w:val="0"/>
                <w:i w:val="0"/>
                <w:sz w:val="15"/>
              </w:rPr>
              <w:t>Mixed (38)</w:t>
            </w:r>
          </w:p>
        </w:tc>
        <w:tc>
          <w:tcPr>
            <w:tcW w:type="dxa" w:w="1872"/>
          </w:tcPr>
          <w:p>
            <w:r>
              <w:rPr>
                <w:b w:val="0"/>
                <w:i w:val="0"/>
                <w:sz w:val="15"/>
              </w:rPr>
              <w:t>Trend turned down</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A12D2C"/>
                <w:sz w:val="15"/>
              </w:rPr>
              <w:t>-0.6%</w:t>
            </w:r>
          </w:p>
        </w:tc>
        <w:tc>
          <w:tcPr>
            <w:tcW w:type="dxa" w:w="792"/>
            <w:shd w:val="clear" w:color="auto" w:fill="F7F7F5"/>
          </w:tcPr>
          <w:p>
            <w:pPr>
              <w:jc w:val="right"/>
            </w:pPr>
            <w:r>
              <w:rPr>
                <w:b w:val="0"/>
                <w:i w:val="0"/>
                <w:color w:val="A12D2C"/>
                <w:sz w:val="15"/>
              </w:rPr>
              <w:t>-0.6%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(23)</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(23)</w:t>
            </w:r>
          </w:p>
        </w:tc>
        <w:tc>
          <w:tcPr>
            <w:tcW w:type="dxa" w:w="1872"/>
          </w:tcPr>
          <w:p>
            <w:r>
              <w:rPr>
                <w:b w:val="0"/>
                <w:i w:val="0"/>
                <w:sz w:val="15"/>
              </w:rPr>
              <w:t>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26 Aug–01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01.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Wilmar International</w:t>
            </w:r>
            <w:r>
              <w:rPr>
                <w:b w:val="0"/>
                <w:i w:val="0"/>
                <w:color w:val="52514E"/>
                <w:sz w:val="17"/>
              </w:rPr>
              <w:t xml:space="preserve">   Consumer Goods  ·  +0.3% over 26 Aug–01 Sep</w:t>
            </w:r>
          </w:p>
          <w:p>
            <w:pPr>
              <w:spacing w:after="10" w:line="240" w:lineRule="auto"/>
            </w:pPr>
            <w:r>
              <w:rPr>
                <w:b/>
                <w:i w:val="0"/>
                <w:color w:val="1A2E55"/>
                <w:sz w:val="16"/>
              </w:rPr>
              <w:t xml:space="preserve">In short (AI-written, checked)  </w:t>
            </w:r>
            <w:r>
              <w:rPr>
                <w:b w:val="0"/>
                <w:i w:val="0"/>
                <w:sz w:val="16"/>
              </w:rPr>
              <w:t>Wilmar International fell 2.1% over 26–01 Sep. The news was mixed, but the price moved the other way, so the news does not explain the move. The last five days saw a small rise of +0.3%. The forecast model expects a rise with a 52% chance, but this signal is weak.</w:t>
            </w:r>
          </w:p>
          <w:p>
            <w:pPr>
              <w:spacing w:after="10" w:line="240" w:lineRule="auto"/>
            </w:pPr>
            <w:r>
              <w:rPr>
                <w:b/>
                <w:i w:val="0"/>
                <w:color w:val="1A2E55"/>
                <w:sz w:val="16"/>
              </w:rPr>
              <w:t xml:space="preserve">What happened  </w:t>
            </w:r>
            <w:r>
              <w:rPr>
                <w:b w:val="0"/>
                <w:i w:val="0"/>
                <w:sz w:val="16"/>
              </w:rPr>
              <w:t>Rose 0.3% over 26 Aug–01 Sep; its biggest day was Tue 01 Sep (-2.1%). Today -2.1%.</w:t>
            </w:r>
          </w:p>
          <w:p>
            <w:pPr>
              <w:spacing w:after="10" w:line="240" w:lineRule="auto"/>
            </w:pPr>
            <w:r>
              <w:rPr>
                <w:b/>
                <w:i w:val="0"/>
                <w:color w:val="1A2E55"/>
                <w:sz w:val="16"/>
              </w:rPr>
              <w:t xml:space="preserve">Today: news vs price  </w:t>
            </w:r>
            <w:r>
              <w:rPr>
                <w:b w:val="0"/>
                <w:i w:val="0"/>
                <w:sz w:val="16"/>
              </w:rPr>
              <w:t>Positive reading, but the price fell 2.1%: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mixed; the price rose 0.3% over 26 Aug–01 Sep, its sector peer ComfortDelGro -0.8%, and the 15 stocks -0.5% on average. So it barely moved over the period.</w:t>
            </w:r>
          </w:p>
          <w:p>
            <w:pPr>
              <w:spacing w:after="10" w:line="240" w:lineRule="auto"/>
            </w:pPr>
            <w:r>
              <w:rPr>
                <w:b/>
                <w:i w:val="0"/>
                <w:color w:val="1A2E55"/>
                <w:sz w:val="16"/>
              </w:rPr>
              <w:t xml:space="preserve">News today  </w:t>
            </w:r>
            <w:r>
              <w:rPr>
                <w:b w:val="0"/>
                <w:i w:val="0"/>
                <w:sz w:val="16"/>
              </w:rPr>
              <w:t>21 articles collected today: 3 positive, 4 negative, 14 neutral (mixed). Event tags: dividend, earnings, merger or acquisition, upgrade.</w:t>
            </w:r>
          </w:p>
          <w:p>
            <w:pPr>
              <w:spacing w:after="10" w:line="240" w:lineRule="auto"/>
            </w:pPr>
            <w:r>
              <w:rPr>
                <w:b/>
                <w:i w:val="0"/>
                <w:color w:val="1A2E55"/>
                <w:sz w:val="16"/>
              </w:rPr>
              <w:t xml:space="preserve">Price chart  </w:t>
            </w:r>
            <w:r>
              <w:rPr>
                <w:b w:val="0"/>
                <w:i w:val="0"/>
                <w:sz w:val="16"/>
              </w:rPr>
              <w:t>RSI 49,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+0.37; positive above +0.35, negative below −0.35), and on all 2 earlier recorded days. It needs both 'Earnings/dividend headlines' and the average-price signal: without either it would be neutral.</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Despite a positive baseline driven by a positive geopolitical backdrop, corporate events, options market positioning, and price above VWAP, the next‑day return models remain neutral, highlighting a mild contradiction. Higher news coverage volume and a favorable yield curve spread support the positive view, while elevated political news volume and negative news share dampen confidence. Recent macro headlines—such as the prolonged war in Iran and weakening Asian currencies—add a negative tone that tempers the outlook. Overall, the consensus leans positive but with caution, as the models and macro environment suggest potential volatility.</w:t>
            </w:r>
          </w:p>
          <w:p>
            <w:pPr>
              <w:spacing w:after="10" w:line="240" w:lineRule="auto"/>
            </w:pPr>
            <w:r>
              <w:rPr>
                <w:b/>
                <w:i w:val="0"/>
                <w:color w:val="1A2E55"/>
                <w:sz w:val="16"/>
              </w:rPr>
              <w:t xml:space="preserve">Forecast lean  </w:t>
            </w:r>
            <w:r>
              <w:rPr>
                <w:b w:val="0"/>
                <w:i w:val="0"/>
                <w:sz w:val="16"/>
              </w:rPr>
              <w:t>Rise over the next 3 trading days (chance 52%); its normal 3-day swing is ±3.0%. Past record on this stock: ✓, but rise-or-fall calls marked ✓ were right only 31%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+0.7% over 26 Aug–01 Sep</w:t>
            </w:r>
          </w:p>
          <w:p>
            <w:pPr>
              <w:spacing w:after="10" w:line="240" w:lineRule="auto"/>
            </w:pPr>
            <w:r>
              <w:rPr>
                <w:b/>
                <w:i w:val="0"/>
                <w:color w:val="1A2E55"/>
                <w:sz w:val="16"/>
              </w:rPr>
              <w:t xml:space="preserve">In short (AI-written, checked)  </w:t>
            </w:r>
            <w:r>
              <w:rPr>
                <w:b w:val="0"/>
                <w:i w:val="0"/>
                <w:sz w:val="16"/>
              </w:rPr>
              <w:t>DBS Group slipped 0.6% over 26–01 Sep. The mostly positive news was not reflected in the price, so it does not explain the move. Over the last five days the stock barely moved +0.7%. The forecast model predicts no big move, a weak signal.</w:t>
            </w:r>
          </w:p>
          <w:p>
            <w:pPr>
              <w:spacing w:after="10" w:line="240" w:lineRule="auto"/>
            </w:pPr>
            <w:r>
              <w:rPr>
                <w:b/>
                <w:i w:val="0"/>
                <w:color w:val="1A2E55"/>
                <w:sz w:val="16"/>
              </w:rPr>
              <w:t xml:space="preserve">What happened  </w:t>
            </w:r>
            <w:r>
              <w:rPr>
                <w:b w:val="0"/>
                <w:i w:val="0"/>
                <w:sz w:val="16"/>
              </w:rPr>
              <w:t>Rose 0.7% over 26 Aug–01 Sep, including +1.6% on Mon 31 Aug. Today -0.6%.</w:t>
            </w:r>
          </w:p>
          <w:p>
            <w:pPr>
              <w:spacing w:after="10" w:line="240" w:lineRule="auto"/>
            </w:pPr>
            <w:r>
              <w:rPr>
                <w:b/>
                <w:i w:val="0"/>
                <w:color w:val="1A2E55"/>
                <w:sz w:val="16"/>
              </w:rPr>
              <w:t xml:space="preserve">Today: news vs price  </w:t>
            </w:r>
            <w:r>
              <w:rPr>
                <w:b w:val="0"/>
                <w:i w:val="0"/>
                <w:sz w:val="16"/>
              </w:rPr>
              <w:t>Positive reading, but the price fell 0.6%: the price went against the news. The forecast model has no clear view. (Pattern: Noise.)</w:t>
            </w:r>
          </w:p>
          <w:p>
            <w:pPr>
              <w:spacing w:after="10" w:line="240" w:lineRule="auto"/>
            </w:pPr>
            <w:r>
              <w:rPr>
                <w:b/>
                <w:i w:val="0"/>
                <w:color w:val="1A2E55"/>
                <w:sz w:val="16"/>
              </w:rPr>
              <w:t xml:space="preserve">Last 5 days in context  </w:t>
            </w:r>
            <w:r>
              <w:rPr>
                <w:b w:val="0"/>
                <w:i w:val="0"/>
                <w:sz w:val="16"/>
              </w:rPr>
              <w:t>Company news collected today was mostly positive; the price rose 0.7% over 26 Aug–01 Sep, its 2 sector peers +0.1% on average, and the 15 stocks -0.5% on average. So it barely moved over the period.</w:t>
            </w:r>
          </w:p>
          <w:p>
            <w:pPr>
              <w:spacing w:after="10" w:line="240" w:lineRule="auto"/>
            </w:pPr>
            <w:r>
              <w:rPr>
                <w:b/>
                <w:i w:val="0"/>
                <w:color w:val="1A2E55"/>
                <w:sz w:val="16"/>
              </w:rPr>
              <w:t xml:space="preserve">News today  </w:t>
            </w:r>
            <w:r>
              <w:rPr>
                <w:b w:val="0"/>
                <w:i w:val="0"/>
                <w:sz w:val="16"/>
              </w:rPr>
              <w:t>50 articles collected today: 32 positive, 7 negative, 11 neutral (mostly positive). Event tags: dividend, earnings, management change, upgrade.</w:t>
            </w:r>
          </w:p>
          <w:p>
            <w:pPr>
              <w:spacing w:after="10" w:line="240" w:lineRule="auto"/>
            </w:pPr>
            <w:r>
              <w:rPr>
                <w:b/>
                <w:i w:val="0"/>
                <w:color w:val="1A2E55"/>
                <w:sz w:val="16"/>
              </w:rPr>
              <w:t xml:space="preserve">Headlines  </w:t>
            </w:r>
            <w:r>
              <w:rPr>
                <w:b w:val="0"/>
                <w:i w:val="0"/>
                <w:sz w:val="16"/>
              </w:rPr>
              <w:t>+ “DBS sees choppy Q3 for STI as investors pivot from Singapore banks to listcos that are unloc…” (The Business Times, 07 Aug)</w:t>
            </w:r>
          </w:p>
          <w:p>
            <w:pPr>
              <w:spacing w:after="10" w:line="240" w:lineRule="auto"/>
            </w:pPr>
            <w:r>
              <w:rPr>
                <w:b/>
                <w:i w:val="0"/>
                <w:color w:val="1A2E55"/>
                <w:sz w:val="16"/>
              </w:rPr>
              <w:t xml:space="preserve">Price chart  </w:t>
            </w:r>
            <w:r>
              <w:rPr>
                <w:b w:val="0"/>
                <w:i w:val="0"/>
                <w:sz w:val="16"/>
              </w:rPr>
              <w:t>RSI 64,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2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maintains a positive outlook driven by strong corporate earnings, record net profit, and dividend hikes, as reflected in recent headlines such as "DBS shares hit $50 record after 1% rise in Q2 profit" and "DBS Reports Record-High Net Profit and Raises Dividend by 33%". The rule‑based model highlights a positive geopolitical backdrop, positive corporate events, and weekly trend confirmation, while ML-model analysis underscores the impact of positive news share (+0.253) and weekly trend (+0.229). However, elevated political news volume and negative macro headlines—like the prolonged war in Iran and weakening Asian currencies—introduce downside risk, and both ML models currently rate the next‑day return as neutral, contrasting with the positive rule‑based call. Overall, the consensus points to a favorable short‑term bias, tempered by macro and political uncertainties.</w:t>
            </w:r>
          </w:p>
          <w:p>
            <w:pPr>
              <w:spacing w:after="10" w:line="240" w:lineRule="auto"/>
            </w:pPr>
            <w:r>
              <w:rPr>
                <w:b/>
                <w:i w:val="0"/>
                <w:color w:val="1A2E55"/>
                <w:sz w:val="16"/>
              </w:rPr>
              <w:t xml:space="preserve">Forecast lean  </w:t>
            </w:r>
            <w:r>
              <w:rPr>
                <w:b w:val="0"/>
                <w:i w:val="0"/>
                <w:sz w:val="16"/>
              </w:rPr>
              <w:t>No big move over the next 3 trading days (chance 53%); its normal 3-day swing is ±1.9%.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-1.8% over 26 Aug–01 Sep</w:t>
            </w:r>
          </w:p>
          <w:p>
            <w:pPr>
              <w:spacing w:after="10" w:line="240" w:lineRule="auto"/>
            </w:pPr>
            <w:r>
              <w:rPr>
                <w:b/>
                <w:i w:val="0"/>
                <w:color w:val="1A2E55"/>
                <w:sz w:val="16"/>
              </w:rPr>
              <w:t xml:space="preserve">In short (AI-written, checked)  </w:t>
            </w:r>
            <w:r>
              <w:rPr>
                <w:b w:val="0"/>
                <w:i w:val="0"/>
                <w:sz w:val="16"/>
              </w:rPr>
              <w:t>SGX Group dropped 2.2% over 26–01 Sep. The mostly positive news and the price disagree, so the news does not explain the move. The company fell 1.8% over the last five days. The forecast model expects no big move, a weak signal.</w:t>
            </w:r>
          </w:p>
          <w:p>
            <w:pPr>
              <w:spacing w:after="10" w:line="240" w:lineRule="auto"/>
            </w:pPr>
            <w:r>
              <w:rPr>
                <w:b/>
                <w:i w:val="0"/>
                <w:color w:val="1A2E55"/>
                <w:sz w:val="16"/>
              </w:rPr>
              <w:t xml:space="preserve">What happened  </w:t>
            </w:r>
            <w:r>
              <w:rPr>
                <w:b w:val="0"/>
                <w:i w:val="0"/>
                <w:sz w:val="16"/>
              </w:rPr>
              <w:t>Fell 1.8% over 26 Aug–01 Sep, including -2.2% on Tue 01 Sep. Today -2.2%.</w:t>
            </w:r>
          </w:p>
          <w:p>
            <w:pPr>
              <w:spacing w:after="10" w:line="240" w:lineRule="auto"/>
            </w:pPr>
            <w:r>
              <w:rPr>
                <w:b/>
                <w:i w:val="0"/>
                <w:color w:val="1A2E55"/>
                <w:sz w:val="16"/>
              </w:rPr>
              <w:t xml:space="preserve">Today: news vs price  </w:t>
            </w:r>
            <w:r>
              <w:rPr>
                <w:b w:val="0"/>
                <w:i w:val="0"/>
                <w:sz w:val="16"/>
              </w:rPr>
              <w:t>Positive reading, but the price fell 2.2%: the price went against the news. The forecast model has no clear view. (Pattern: Noise.)</w:t>
            </w:r>
          </w:p>
          <w:p>
            <w:pPr>
              <w:spacing w:after="10" w:line="240" w:lineRule="auto"/>
            </w:pPr>
            <w:r>
              <w:rPr>
                <w:b/>
                <w:i w:val="0"/>
                <w:color w:val="1A2E55"/>
                <w:sz w:val="16"/>
              </w:rPr>
              <w:t xml:space="preserve">Last 5 days in context  </w:t>
            </w:r>
            <w:r>
              <w:rPr>
                <w:b w:val="0"/>
                <w:i w:val="0"/>
                <w:sz w:val="16"/>
              </w:rPr>
              <w:t>Company news collected today was mostly positive; the price fell 1.8% over 26 Aug–01 Sep, against -0.5%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26 positive, 6 negative, 18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“SGX has IPO pipeline of around 50 companies in various stages of readiness amid record results” (The Business Times, 06 Aug)   − “Shareholder Windfall: 3 SGX Stocks Boosting Dividends by 20%+” (The Smart Investor, 20 Aug)</w:t>
            </w:r>
          </w:p>
          <w:p>
            <w:pPr>
              <w:spacing w:after="10" w:line="240" w:lineRule="auto"/>
            </w:pPr>
            <w:r>
              <w:rPr>
                <w:b/>
                <w:i w:val="0"/>
                <w:color w:val="1A2E55"/>
                <w:sz w:val="16"/>
              </w:rPr>
              <w:t xml:space="preserve">Price chart  </w:t>
            </w:r>
            <w:r>
              <w:rPr>
                <w:b w:val="0"/>
                <w:i w:val="0"/>
                <w:sz w:val="16"/>
              </w:rPr>
              <w:t>RSI 52, between 30 and 70: no unusually fast move; weekly trend up; short-term trend turned down (MACD); price above its volume-weighted average.</w:t>
            </w:r>
          </w:p>
          <w:p>
            <w:pPr>
              <w:spacing w:after="10" w:line="240" w:lineRule="auto"/>
            </w:pPr>
            <w:r>
              <w:rPr>
                <w:b/>
                <w:i w:val="0"/>
                <w:color w:val="1A2E55"/>
                <w:sz w:val="16"/>
              </w:rPr>
              <w:t xml:space="preserve">News &amp; signals reading  </w:t>
            </w:r>
            <w:r>
              <w:rPr>
                <w:b w:val="0"/>
                <w:i w:val="0"/>
                <w:sz w:val="16"/>
              </w:rPr>
              <w:t>Positive today (score +0.62; positive above +0.35, negative below −0.35), and on all 2 earlier recorded days. No single rule decides it. Also, the system's internal checks found the signals strongly mixed.</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Down: trend turned down −0.07.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SGX Group maintains a positive outlook driven by a positive geopolitical backdrop, strong corporate events, and robust weekly momentum, with ML-model confirming weekly trend and positive news share. Recent headlines such as "Securities turnover rises 70% in May" and "SGX’s record year masks Singapore’s equities challenge" reinforce the positive narrative. However, elevated political news volume, a MACD negative crossover, and negative ML-model signals—news coverage volume, price above VWAP, and negative news share—introduce caution. Despite these contradictions, the overall consensus remains positive.</w:t>
            </w:r>
          </w:p>
          <w:p>
            <w:pPr>
              <w:spacing w:after="10" w:line="240" w:lineRule="auto"/>
            </w:pPr>
            <w:r>
              <w:rPr>
                <w:b/>
                <w:i w:val="0"/>
                <w:color w:val="1A2E55"/>
                <w:sz w:val="16"/>
              </w:rPr>
              <w:t xml:space="preserve">Forecast lean  </w:t>
            </w:r>
            <w:r>
              <w:rPr>
                <w:b w:val="0"/>
                <w:i w:val="0"/>
                <w:sz w:val="16"/>
              </w:rPr>
              <w:t>No big move over the next 3 trading days (chance 87%); its normal 3-day swing is ±2.1%.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59%</w:t>
            </w:r>
          </w:p>
        </w:tc>
        <w:tc>
          <w:tcPr>
            <w:tcW w:type="dxa" w:w="2016"/>
            <w:shd w:val="clear" w:color="auto" w:fill="E4F3E4"/>
          </w:tcPr>
          <w:p>
            <w:pPr>
              <w:keepNext/>
            </w:pPr>
            <w:r>
              <w:rPr>
                <w:b/>
                <w:i w:val="0"/>
                <w:color w:val="0A6E0A"/>
                <w:sz w:val="16"/>
              </w:rPr>
              <w:t>+29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57%</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56%</w:t>
            </w:r>
          </w:p>
        </w:tc>
        <w:tc>
          <w:tcPr>
            <w:tcW w:type="dxa" w:w="2016"/>
            <w:shd w:val="clear" w:color="auto" w:fill="E4F3E4"/>
          </w:tcPr>
          <w:p>
            <w:pPr>
              <w:keepNext/>
            </w:pPr>
            <w:r>
              <w:rPr>
                <w:b/>
                <w:i w:val="0"/>
                <w:color w:val="0A6E0A"/>
                <w:sz w:val="16"/>
              </w:rPr>
              <w:t>+14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59%</w:t>
            </w:r>
          </w:p>
        </w:tc>
        <w:tc>
          <w:tcPr>
            <w:tcW w:type="dxa" w:w="2016"/>
            <w:shd w:val="clear" w:color="auto" w:fill="FBE1E0"/>
          </w:tcPr>
          <w:p>
            <w:pPr>
              <w:keepNext/>
            </w:pPr>
            <w:r>
              <w:rPr>
                <w:b/>
                <w:i w:val="0"/>
                <w:color w:val="A12D2C"/>
                <w:sz w:val="16"/>
              </w:rPr>
              <w:t>−43 pts ✗</w:t>
            </w:r>
          </w:p>
        </w:tc>
      </w:tr>
      <w:tr>
        <w:tc>
          <w:tcPr>
            <w:tcW w:type="dxa" w:w="2664"/>
          </w:tcPr>
          <w:p>
            <w:pPr>
              <w:keepNext/>
            </w:pPr>
            <w:r>
              <w:rPr>
                <w:b w:val="0"/>
                <w:i w:val="0"/>
                <w:sz w:val="16"/>
              </w:rPr>
              <w:t>ComfortDelGro</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56%</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DBS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53%</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±2.1%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87%</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Singtel</w:t>
            </w:r>
          </w:p>
        </w:tc>
        <w:tc>
          <w:tcPr>
            <w:tcW w:type="dxa" w:w="1368"/>
          </w:tcPr>
          <w:p>
            <w:pPr>
              <w:keepNext/>
              <w:jc w:val="right"/>
            </w:pPr>
            <w:r>
              <w:rPr>
                <w:b w:val="0"/>
                <w:i w:val="0"/>
                <w:sz w:val="16"/>
              </w:rPr>
              <w:t>±2.4%</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58%</w:t>
            </w:r>
          </w:p>
        </w:tc>
        <w:tc>
          <w:tcPr>
            <w:tcW w:type="dxa" w:w="2016"/>
            <w:shd w:val="clear" w:color="auto" w:fill="FBE1E0"/>
          </w:tcPr>
          <w:p>
            <w:pPr>
              <w:keepNext/>
            </w:pPr>
            <w:r>
              <w:rPr>
                <w:b/>
                <w:i w:val="0"/>
                <w:color w:val="A12D2C"/>
                <w:sz w:val="16"/>
              </w:rPr>
              <w:t>−71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50%</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±2.7%</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56%</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76%</w:t>
            </w:r>
          </w:p>
        </w:tc>
        <w:tc>
          <w:tcPr>
            <w:tcW w:type="dxa" w:w="2016"/>
            <w:shd w:val="clear" w:color="auto" w:fill="E4F3E4"/>
          </w:tcPr>
          <w:p>
            <w:pPr>
              <w:keepNext/>
            </w:pPr>
            <w:r>
              <w:rPr>
                <w:b/>
                <w:i w:val="0"/>
                <w:color w:val="0A6E0A"/>
                <w:sz w:val="16"/>
              </w:rPr>
              <w:t>+57 pts ✓</w:t>
            </w:r>
          </w:p>
        </w:tc>
      </w:tr>
      <w:tr>
        <w:tc>
          <w:tcPr>
            <w:tcW w:type="dxa" w:w="2664"/>
          </w:tcPr>
          <w:p>
            <w:r>
              <w:rPr>
                <w:b w:val="0"/>
                <w:i w:val="0"/>
                <w:sz w:val="16"/>
              </w:rPr>
              <w:t>Wilmar Intl</w:t>
            </w:r>
          </w:p>
        </w:tc>
        <w:tc>
          <w:tcPr>
            <w:tcW w:type="dxa" w:w="1368"/>
          </w:tcPr>
          <w:p>
            <w:pPr>
              <w:jc w:val="right"/>
            </w:pPr>
            <w:r>
              <w:rPr>
                <w:b w:val="0"/>
                <w:i w:val="0"/>
                <w:sz w:val="16"/>
              </w:rPr>
              <w:t>±3.0%</w:t>
            </w:r>
          </w:p>
        </w:tc>
        <w:tc>
          <w:tcPr>
            <w:tcW w:type="dxa" w:w="1440"/>
          </w:tcPr>
          <w:p>
            <w:r>
              <w:rPr>
                <w:b w:val="0"/>
                <w:i w:val="0"/>
                <w:sz w:val="16"/>
              </w:rPr>
            </w:r>
          </w:p>
        </w:tc>
        <w:tc>
          <w:tcPr>
            <w:tcW w:type="dxa" w:w="1440"/>
          </w:tcPr>
          <w:p>
            <w:r>
              <w:rPr>
                <w:b w:val="0"/>
                <w:i w:val="0"/>
                <w:color w:val="1C5CAB"/>
                <w:sz w:val="16"/>
              </w:rPr>
              <w:t>Rise</w:t>
            </w:r>
          </w:p>
        </w:tc>
        <w:tc>
          <w:tcPr>
            <w:tcW w:type="dxa" w:w="1008"/>
          </w:tcPr>
          <w:p>
            <w:pPr>
              <w:jc w:val="right"/>
            </w:pPr>
            <w:r>
              <w:rPr>
                <w:b w:val="0"/>
                <w:i w:val="0"/>
                <w:sz w:val="16"/>
              </w:rPr>
              <w:t>52%</w:t>
            </w:r>
          </w:p>
        </w:tc>
        <w:tc>
          <w:tcPr>
            <w:tcW w:type="dxa" w:w="2016"/>
            <w:shd w:val="clear" w:color="auto" w:fill="E4F3E4"/>
          </w:tcPr>
          <w:p>
            <w:r>
              <w:rPr>
                <w:b/>
                <w:i w:val="0"/>
                <w:color w:val="0A6E0A"/>
                <w:sz w:val="16"/>
              </w:rPr>
              <w:t>+29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SGX Group, ST Engineering, Ascendas REIT, Mapletree Industrial and Mapletree Pan Asia Comm. Trust: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47% of 105 past calls, against 61% for always guessing 'no big move'. Calls marked ✓ were right 49%, the rest 39%, but the gain is in 'no big move' calls (62% right); ✓ rise-or-fall calls were right only 31% of 32, so a ✓ never makes a direction likely. Before its probabilities were refitted, chances of 90% or more were right only 46%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499 company news articles (each read as positive, negative or neutral by FinBERT, a finance language model) and 72 political articles; price-chart indicators (RSI, MACD, Bollinger bands, VWAP, weekly trend); the market backdrop (VIX 15.9, US yield spread); Singapore ETF options positioning (put/call 0.19).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(7)</w:t>
            </w:r>
          </w:p>
        </w:tc>
        <w:tc>
          <w:tcPr>
            <w:tcW w:type="dxa" w:w="3312"/>
          </w:tcPr>
          <w:p>
            <w:r>
              <w:rPr>
                <w:b w:val="0"/>
                <w:i w:val="0"/>
                <w:sz w:val="15"/>
              </w:rPr>
              <w:t>Mapletree Pan Asia Comm. Trust, Ascendas REIT, Mapletree Industrial, Keppel Corp, ST Engineering,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Noise (3)</w:t>
            </w:r>
          </w:p>
        </w:tc>
        <w:tc>
          <w:tcPr>
            <w:tcW w:type="dxa" w:w="3312"/>
            <w:shd w:val="clear" w:color="auto" w:fill="F7F7F5"/>
          </w:tcPr>
          <w:p>
            <w:r>
              <w:rPr>
                <w:b w:val="0"/>
                <w:i w:val="0"/>
                <w:sz w:val="15"/>
              </w:rPr>
              <w:t>DBS Group, CapitaLand Integ. Comm. Trust, SGX Group</w:t>
            </w:r>
          </w:p>
        </w:tc>
        <w:tc>
          <w:tcPr>
            <w:tcW w:type="dxa" w:w="4824"/>
            <w:shd w:val="clear" w:color="auto" w:fill="F7F7F5"/>
          </w:tcPr>
          <w:p>
            <w:r>
              <w:rPr>
                <w:b w:val="0"/>
                <w:i w:val="0"/>
                <w:sz w:val="15"/>
              </w:rPr>
              <w:t>price went against the signals; the model has no clear view</w:t>
            </w:r>
          </w:p>
        </w:tc>
      </w:tr>
      <w:tr>
        <w:tc>
          <w:tcPr>
            <w:tcW w:type="dxa" w:w="1800"/>
          </w:tcPr>
          <w:p>
            <w:r>
              <w:rPr>
                <w:b/>
                <w:i w:val="0"/>
                <w:sz w:val="15"/>
              </w:rPr>
              <w:t>Lag (2)</w:t>
            </w:r>
          </w:p>
        </w:tc>
        <w:tc>
          <w:tcPr>
            <w:tcW w:type="dxa" w:w="3312"/>
          </w:tcPr>
          <w:p>
            <w:r>
              <w:rPr>
                <w:b w:val="0"/>
                <w:i w:val="0"/>
                <w:sz w:val="15"/>
              </w:rPr>
              <w:t>Singtel, Wilmar Intl</w:t>
            </w:r>
          </w:p>
        </w:tc>
        <w:tc>
          <w:tcPr>
            <w:tcW w:type="dxa" w:w="4824"/>
          </w:tcPr>
          <w:p>
            <w:r>
              <w:rPr>
                <w:b w:val="0"/>
                <w:i w:val="0"/>
                <w:sz w:val="15"/>
              </w:rPr>
              <w:t>price went against the signals; the model sides with the signals</w:t>
            </w:r>
          </w:p>
        </w:tc>
      </w:tr>
      <w:tr>
        <w:tc>
          <w:tcPr>
            <w:tcW w:type="dxa" w:w="1800"/>
            <w:shd w:val="clear" w:color="auto" w:fill="F7F7F5"/>
          </w:tcPr>
          <w:p>
            <w:r>
              <w:rPr>
                <w:b/>
                <w:i w:val="0"/>
                <w:sz w:val="15"/>
              </w:rPr>
              <w:t>Dormant (1)</w:t>
            </w:r>
          </w:p>
        </w:tc>
        <w:tc>
          <w:tcPr>
            <w:tcW w:type="dxa" w:w="3312"/>
            <w:shd w:val="clear" w:color="auto" w:fill="F7F7F5"/>
          </w:tcPr>
          <w:p>
            <w:r>
              <w:rPr>
                <w:b w:val="0"/>
                <w:i w:val="0"/>
                <w:sz w:val="15"/>
              </w:rPr>
              <w:t>OCBC Bank</w:t>
            </w:r>
          </w:p>
        </w:tc>
        <w:tc>
          <w:tcPr>
            <w:tcW w:type="dxa" w:w="4824"/>
            <w:shd w:val="clear" w:color="auto" w:fill="F7F7F5"/>
          </w:tcPr>
          <w:p>
            <w:r>
              <w:rPr>
                <w:b w:val="0"/>
                <w:i w:val="0"/>
                <w:sz w:val="15"/>
              </w:rPr>
              <w:t>a slight lean in the signals; neither price nor model followed</w:t>
            </w:r>
          </w:p>
        </w:tc>
      </w:tr>
      <w:tr>
        <w:tc>
          <w:tcPr>
            <w:tcW w:type="dxa" w:w="1800"/>
          </w:tcPr>
          <w:p>
            <w:r>
              <w:rPr>
                <w:b/>
                <w:i w:val="0"/>
                <w:sz w:val="15"/>
              </w:rPr>
              <w:t>Muted, pending (1)</w:t>
            </w:r>
          </w:p>
        </w:tc>
        <w:tc>
          <w:tcPr>
            <w:tcW w:type="dxa" w:w="3312"/>
          </w:tcPr>
          <w:p>
            <w:r>
              <w:rPr>
                <w:b w:val="0"/>
                <w:i w:val="0"/>
                <w:sz w:val="15"/>
              </w:rPr>
              <w:t>UOB</w:t>
            </w:r>
          </w:p>
        </w:tc>
        <w:tc>
          <w:tcPr>
            <w:tcW w:type="dxa" w:w="4824"/>
          </w:tcPr>
          <w:p>
            <w:r>
              <w:rPr>
                <w:b w:val="0"/>
                <w:i w:val="0"/>
                <w:sz w:val="15"/>
              </w:rPr>
              <w:t>signals leaned one way, price barely moved; the model still expects that direction</w:t>
            </w:r>
          </w:p>
        </w:tc>
      </w:tr>
      <w:tr>
        <w:tc>
          <w:tcPr>
            <w:tcW w:type="dxa" w:w="1800"/>
            <w:shd w:val="clear" w:color="auto" w:fill="F7F7F5"/>
          </w:tcPr>
          <w:p>
            <w:r>
              <w:rPr>
                <w:b/>
                <w:i w:val="0"/>
                <w:sz w:val="15"/>
              </w:rPr>
              <w:t>Move complete (1)</w:t>
            </w:r>
          </w:p>
        </w:tc>
        <w:tc>
          <w:tcPr>
            <w:tcW w:type="dxa" w:w="3312"/>
            <w:shd w:val="clear" w:color="auto" w:fill="F7F7F5"/>
          </w:tcPr>
          <w:p>
            <w:r>
              <w:rPr>
                <w:b w:val="0"/>
                <w:i w:val="0"/>
                <w:sz w:val="15"/>
              </w:rPr>
              <w:t>Sembcorp Industries</w:t>
            </w:r>
          </w:p>
        </w:tc>
        <w:tc>
          <w:tcPr>
            <w:tcW w:type="dxa" w:w="4824"/>
            <w:shd w:val="clear" w:color="auto" w:fill="F7F7F5"/>
          </w:tcPr>
          <w:p>
            <w:r>
              <w:rPr>
                <w:b w:val="0"/>
                <w:i w:val="0"/>
                <w:sz w:val="15"/>
              </w:rPr>
              <w:t>the signals played out today; nothing further expected</w:t>
            </w:r>
          </w:p>
        </w:tc>
      </w:tr>
    </w:tbl>
    <w:p>
      <w:pPr>
        <w:spacing w:after="40"/>
      </w:pPr>
      <w:r>
        <w:rPr>
          <w:b w:val="0"/>
          <w:i w:val="0"/>
          <w:color w:val="52514E"/>
          <w:sz w:val="15"/>
        </w:rPr>
        <w:t>The other patterns in the 11-pattern engine did not occur today; the full set is defined in the final report, Appendix C. The contradiction check rated 1 of 15 readings strongly mixed (named on the cards) and 7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47% of 105 vs 61%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49%, others 39%; the gain is in 'no big move' calls (62%). ✓ rise-or-fall calls: 31% of 32.</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01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