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Wednesday 02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27 Aug–02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+0.1% on average (5 up, 6 down); over 27–02 Sep they moved -0.2%. Weakest: Financial Services (-2.4%), REIT (-1.4%) and Telecommunications (-1.1%); strongest: Banking (+1.7%) and Consumer Goods (+0.8%).</w:t>
      </w:r>
    </w:p>
    <w:p>
      <w:pPr>
        <w:pStyle w:val="ListBullet"/>
        <w:spacing w:after="40"/>
      </w:pPr>
      <w:r>
        <w:rPr>
          <w:b/>
          <w:i w:val="0"/>
          <w:color w:val="1A2E55"/>
          <w:sz w:val="19"/>
        </w:rPr>
        <w:t xml:space="preserve">Why. </w:t>
      </w:r>
      <w:r>
        <w:rPr>
          <w:b w:val="0"/>
          <w:i w:val="0"/>
          <w:sz w:val="19"/>
        </w:rPr>
        <w:t>Biggest movers over 27–02 Sep: Ascendas REIT (-2.9%), SGX Group (-2.4%) and Wilmar Intl (+2.4%). Ascendas REIT moved more than the market without a company news story. Wilmar Intl moved against the market without a company news story. For SGX Group, the company news and the price disagree. See section 2.</w:t>
      </w:r>
    </w:p>
    <w:p>
      <w:pPr>
        <w:pStyle w:val="ListBullet"/>
        <w:spacing w:after="40"/>
      </w:pPr>
      <w:r>
        <w:rPr>
          <w:b/>
          <w:i w:val="0"/>
          <w:color w:val="1A2E55"/>
          <w:sz w:val="19"/>
        </w:rPr>
        <w:t xml:space="preserve">Backdrop. </w:t>
      </w:r>
      <w:r>
        <w:rPr>
          <w:b w:val="0"/>
          <w:i w:val="0"/>
          <w:sz w:val="19"/>
        </w:rPr>
        <w:t>The market backdrop is normal (VIX 16.3), and Singapore ETF options are neutral (put/call 0.19).</w:t>
      </w:r>
    </w:p>
    <w:p>
      <w:pPr>
        <w:pStyle w:val="ListBullet"/>
        <w:spacing w:after="40"/>
      </w:pPr>
      <w:r>
        <w:rPr>
          <w:b/>
          <w:i w:val="0"/>
          <w:color w:val="1A2E55"/>
          <w:sz w:val="19"/>
        </w:rPr>
        <w:t xml:space="preserve">New today. </w:t>
      </w:r>
      <w:r>
        <w:rPr>
          <w:b w:val="0"/>
          <w:i w:val="0"/>
          <w:sz w:val="19"/>
        </w:rPr>
        <w:t>Today's news added a positive signal for DBS Group (already in the price), SGX Group (not yet in the price), CapitaLand Integ. Comm. Trust (not yet in the price), ST Engineering (the price went the other way) and eight more. See section 2.</w:t>
      </w:r>
    </w:p>
    <w:p>
      <w:pPr>
        <w:pStyle w:val="ListBullet"/>
        <w:spacing w:after="40"/>
      </w:pPr>
      <w:r>
        <w:rPr>
          <w:b/>
          <w:i w:val="0"/>
          <w:color w:val="1A2E55"/>
          <w:sz w:val="19"/>
        </w:rPr>
        <w:t xml:space="preserve">Next 3 days. </w:t>
      </w:r>
      <w:r>
        <w:rPr>
          <w:b w:val="0"/>
          <w:i w:val="0"/>
          <w:sz w:val="19"/>
        </w:rPr>
        <w:t>The forecast model leans towards a rise for four stocks and no big move for the rest (none with a ✓ record); normal 3-day swings run from ±0.7% (Mapletree Industrial) to ±3.1% (Wilmar Intl), so a bigger move than a stock's own swing would be unusual. See section 3.</w:t>
      </w:r>
    </w:p>
    <w:p>
      <w:pPr>
        <w:pStyle w:val="ListBullet"/>
        <w:spacing w:after="40"/>
      </w:pPr>
      <w:r>
        <w:rPr>
          <w:b/>
          <w:i w:val="0"/>
          <w:color w:val="1A2E55"/>
          <w:sz w:val="19"/>
        </w:rPr>
        <w:t xml:space="preserve">For you. </w:t>
      </w:r>
      <w:r>
        <w:rPr>
          <w:b w:val="0"/>
          <w:i w:val="0"/>
          <w:sz w:val="19"/>
        </w:rPr>
        <w:t>No stock is flagged ⚑ today. The moves in Ascendas REIT and Wilmar Intl came without company news, so sector or market news is the place to check before reacting. If you prefer less day-to-day movement, Mapletree Industrial, ST Engineering, Sembcorp Industries, Ascendas REIT and CapitaLand Integ. Comm. Trust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positive;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27 Aug–02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1C5CAB"/>
                <w:sz w:val="15"/>
              </w:rPr>
              <w:t>+0.9%</w:t>
            </w:r>
          </w:p>
        </w:tc>
        <w:tc>
          <w:tcPr>
            <w:tcW w:type="dxa" w:w="792"/>
          </w:tcPr>
          <w:p>
            <w:pPr>
              <w:jc w:val="right"/>
            </w:pPr>
            <w:r>
              <w:rPr>
                <w:b w:val="0"/>
                <w:i w:val="0"/>
                <w:color w:val="1C5CAB"/>
                <w:sz w:val="15"/>
              </w:rPr>
              <w:t>+1.8%</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-2.4%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ST Engineering ★</w:t>
            </w:r>
          </w:p>
        </w:tc>
        <w:tc>
          <w:tcPr>
            <w:tcW w:type="dxa" w:w="662"/>
          </w:tcPr>
          <w:p>
            <w:pPr>
              <w:jc w:val="right"/>
            </w:pPr>
            <w:r>
              <w:rPr>
                <w:b w:val="0"/>
                <w:i w:val="0"/>
                <w:color w:val="A12D2C"/>
                <w:sz w:val="15"/>
              </w:rPr>
              <w:t>-0.9%</w:t>
            </w:r>
          </w:p>
        </w:tc>
        <w:tc>
          <w:tcPr>
            <w:tcW w:type="dxa" w:w="792"/>
          </w:tcPr>
          <w:p>
            <w:pPr>
              <w:jc w:val="right"/>
            </w:pPr>
            <w:r>
              <w:rPr>
                <w:b w:val="0"/>
                <w:i w:val="0"/>
                <w:color w:val="A12D2C"/>
                <w:sz w:val="15"/>
              </w:rPr>
              <w:t>-0.9%</w:t>
            </w:r>
          </w:p>
        </w:tc>
        <w:tc>
          <w:tcPr>
            <w:tcW w:type="dxa" w:w="1037"/>
            <w:shd w:val="clear" w:color="auto" w:fill="DCEAFB"/>
          </w:tcPr>
          <w:p>
            <w:r>
              <w:rPr>
                <w:b/>
                <w:i w:val="0"/>
                <w:color w:val="1C5CAB"/>
                <w:sz w:val="15"/>
              </w:rPr>
              <w:t>Positive</w:t>
            </w:r>
          </w:p>
        </w:tc>
        <w:tc>
          <w:tcPr>
            <w:tcW w:type="dxa" w:w="1382"/>
          </w:tcPr>
          <w:p>
            <w:r>
              <w:rPr>
                <w:b w:val="0"/>
                <w:i w:val="0"/>
                <w:sz w:val="15"/>
              </w:rPr>
              <w:t>Mostly positive (39)</w:t>
            </w:r>
          </w:p>
        </w:tc>
        <w:tc>
          <w:tcPr>
            <w:tcW w:type="dxa" w:w="1872"/>
          </w:tcPr>
          <w:p>
            <w:r>
              <w:rPr>
                <w:b w:val="0"/>
                <w:i w:val="0"/>
                <w:sz w:val="15"/>
              </w:rPr>
              <w:t>—</w:t>
            </w:r>
          </w:p>
        </w:tc>
        <w:tc>
          <w:tcPr>
            <w:tcW w:type="dxa" w:w="1642"/>
          </w:tcPr>
          <w:p>
            <w:r>
              <w:rPr>
                <w:b w:val="0"/>
                <w:i w:val="0"/>
                <w:sz w:val="15"/>
              </w:rPr>
              <w:t>Price went the other way</w:t>
            </w:r>
          </w:p>
        </w:tc>
      </w:tr>
      <w:tr>
        <w:tc>
          <w:tcPr>
            <w:tcW w:type="dxa" w:w="360"/>
            <w:shd w:val="clear" w:color="auto" w:fill="F7F7F5"/>
          </w:tcPr>
          <w:p>
            <w:r>
              <w:rPr>
                <w:b w:val="0"/>
                <w:i w:val="0"/>
                <w:sz w:val="15"/>
              </w:rPr>
              <w:t>4</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A12D2C"/>
                <w:sz w:val="15"/>
              </w:rPr>
              <w:t>-1.7%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(29)</w:t>
            </w:r>
          </w:p>
        </w:tc>
        <w:tc>
          <w:tcPr>
            <w:tcW w:type="dxa" w:w="1872"/>
            <w:shd w:val="clear" w:color="auto" w:fill="F7F7F5"/>
          </w:tcPr>
          <w:p>
            <w:r>
              <w:rPr>
                <w:b w:val="0"/>
                <w:i w:val="0"/>
                <w:sz w:val="15"/>
              </w:rPr>
              <w:t>—</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OCBC Bank ★</w:t>
            </w:r>
          </w:p>
        </w:tc>
        <w:tc>
          <w:tcPr>
            <w:tcW w:type="dxa" w:w="662"/>
          </w:tcPr>
          <w:p>
            <w:pPr>
              <w:jc w:val="right"/>
            </w:pPr>
            <w:r>
              <w:rPr>
                <w:b w:val="0"/>
                <w:i w:val="0"/>
                <w:color w:val="1C5CAB"/>
                <w:sz w:val="15"/>
              </w:rPr>
              <w:t>+1.6%</w:t>
            </w:r>
          </w:p>
        </w:tc>
        <w:tc>
          <w:tcPr>
            <w:tcW w:type="dxa" w:w="792"/>
          </w:tcPr>
          <w:p>
            <w:pPr>
              <w:jc w:val="right"/>
            </w:pPr>
            <w:r>
              <w:rPr>
                <w:b w:val="0"/>
                <w:i w:val="0"/>
                <w:color w:val="1C5CAB"/>
                <w:sz w:val="15"/>
              </w:rPr>
              <w:t>+1.3%</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6</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1C5CAB"/>
                <w:sz w:val="15"/>
              </w:rPr>
              <w:t>+2.0%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Price agreed</w:t>
            </w:r>
          </w:p>
        </w:tc>
      </w:tr>
      <w:tr>
        <w:tc>
          <w:tcPr>
            <w:tcW w:type="dxa" w:w="360"/>
          </w:tcPr>
          <w:p>
            <w:r>
              <w:rPr>
                <w:b w:val="0"/>
                <w:i w:val="0"/>
                <w:sz w:val="15"/>
              </w:rPr>
              <w:t>7</w:t>
            </w:r>
          </w:p>
        </w:tc>
        <w:tc>
          <w:tcPr>
            <w:tcW w:type="dxa" w:w="2189"/>
          </w:tcPr>
          <w:p>
            <w:r>
              <w:rPr>
                <w:b w:val="0"/>
                <w:i w:val="0"/>
                <w:sz w:val="15"/>
              </w:rPr>
              <w:t>Raffles Medical Group ★</w:t>
            </w:r>
          </w:p>
        </w:tc>
        <w:tc>
          <w:tcPr>
            <w:tcW w:type="dxa" w:w="662"/>
          </w:tcPr>
          <w:p>
            <w:pPr>
              <w:jc w:val="right"/>
            </w:pPr>
            <w:r>
              <w:rPr>
                <w:b w:val="0"/>
                <w:i w:val="0"/>
                <w:color w:val="A12D2C"/>
                <w:sz w:val="15"/>
              </w:rPr>
              <w:t>-0.6%</w:t>
            </w:r>
          </w:p>
        </w:tc>
        <w:tc>
          <w:tcPr>
            <w:tcW w:type="dxa" w:w="792"/>
          </w:tcPr>
          <w:p>
            <w:pPr>
              <w:jc w:val="right"/>
            </w:pPr>
            <w:r>
              <w:rPr>
                <w:b w:val="0"/>
                <w:i w:val="0"/>
                <w:color w:val="A12D2C"/>
                <w:sz w:val="15"/>
              </w:rPr>
              <w:t>-0.6%</w:t>
            </w:r>
          </w:p>
        </w:tc>
        <w:tc>
          <w:tcPr>
            <w:tcW w:type="dxa" w:w="1037"/>
            <w:shd w:val="clear" w:color="auto" w:fill="DCEAFB"/>
          </w:tcPr>
          <w:p>
            <w:r>
              <w:rPr>
                <w:b/>
                <w:i w:val="0"/>
                <w:color w:val="1C5CAB"/>
                <w:sz w:val="15"/>
              </w:rPr>
              <w:t>Positive</w:t>
            </w:r>
          </w:p>
        </w:tc>
        <w:tc>
          <w:tcPr>
            <w:tcW w:type="dxa" w:w="1382"/>
          </w:tcPr>
          <w:p>
            <w:r>
              <w:rPr>
                <w:b w:val="0"/>
                <w:i w:val="0"/>
                <w:sz w:val="15"/>
              </w:rPr>
              <w:t>Mostly positive (21)</w:t>
            </w:r>
          </w:p>
        </w:tc>
        <w:tc>
          <w:tcPr>
            <w:tcW w:type="dxa" w:w="1872"/>
          </w:tcPr>
          <w:p>
            <w:r>
              <w:rPr>
                <w:b w:val="0"/>
                <w:i w:val="0"/>
                <w:sz w:val="15"/>
              </w:rPr>
              <w:t>Weekly down</w:t>
            </w:r>
          </w:p>
        </w:tc>
        <w:tc>
          <w:tcPr>
            <w:tcW w:type="dxa" w:w="1642"/>
          </w:tcPr>
          <w:p>
            <w:r>
              <w:rPr>
                <w:b w:val="0"/>
                <w:i w:val="0"/>
                <w:sz w:val="15"/>
              </w:rPr>
              <w:t>Not yet in the price</w:t>
            </w:r>
          </w:p>
        </w:tc>
      </w:tr>
      <w:tr>
        <w:tc>
          <w:tcPr>
            <w:tcW w:type="dxa" w:w="360"/>
            <w:shd w:val="clear" w:color="auto" w:fill="F7F7F5"/>
          </w:tcPr>
          <w:p>
            <w:r>
              <w:rPr>
                <w:b w:val="0"/>
                <w:i w:val="0"/>
                <w:sz w:val="15"/>
              </w:rPr>
              <w:t>8</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-1.1%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(44)</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9</w:t>
            </w:r>
          </w:p>
        </w:tc>
        <w:tc>
          <w:tcPr>
            <w:tcW w:type="dxa" w:w="2189"/>
          </w:tcPr>
          <w:p>
            <w:r>
              <w:rPr>
                <w:b w:val="0"/>
                <w:i w:val="0"/>
                <w:sz w:val="15"/>
              </w:rPr>
              <w:t>ComfortDelGro ★</w:t>
            </w:r>
          </w:p>
        </w:tc>
        <w:tc>
          <w:tcPr>
            <w:tcW w:type="dxa" w:w="662"/>
          </w:tcPr>
          <w:p>
            <w:pPr>
              <w:jc w:val="right"/>
            </w:pPr>
            <w:r>
              <w:rPr>
                <w:b w:val="0"/>
                <w:i w:val="0"/>
                <w:color w:val="52514E"/>
                <w:sz w:val="15"/>
              </w:rPr>
              <w:t>+0.0%</w:t>
            </w:r>
          </w:p>
        </w:tc>
        <w:tc>
          <w:tcPr>
            <w:tcW w:type="dxa" w:w="792"/>
          </w:tcPr>
          <w:p>
            <w:pPr>
              <w:jc w:val="right"/>
            </w:pPr>
            <w:r>
              <w:rPr>
                <w:b w:val="0"/>
                <w:i w:val="0"/>
                <w:color w:val="A12D2C"/>
                <w:sz w:val="15"/>
              </w:rPr>
              <w:t>-0.8%</w:t>
            </w:r>
          </w:p>
        </w:tc>
        <w:tc>
          <w:tcPr>
            <w:tcW w:type="dxa" w:w="1037"/>
            <w:shd w:val="clear" w:color="auto" w:fill="DCEAFB"/>
          </w:tcPr>
          <w:p>
            <w:r>
              <w:rPr>
                <w:b/>
                <w:i w:val="0"/>
                <w:color w:val="1C5CAB"/>
                <w:sz w:val="15"/>
              </w:rPr>
              <w:t>Positive</w:t>
            </w:r>
          </w:p>
        </w:tc>
        <w:tc>
          <w:tcPr>
            <w:tcW w:type="dxa" w:w="1382"/>
          </w:tcPr>
          <w:p>
            <w:r>
              <w:rPr>
                <w:b w:val="0"/>
                <w:i w:val="0"/>
                <w:sz w:val="15"/>
              </w:rPr>
              <w:t>Mixed (40)</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A12D2C"/>
                <w:sz w:val="15"/>
              </w:rPr>
              <w:t>-0.3%</w:t>
            </w:r>
          </w:p>
        </w:tc>
        <w:tc>
          <w:tcPr>
            <w:tcW w:type="dxa" w:w="792"/>
            <w:shd w:val="clear" w:color="auto" w:fill="F7F7F5"/>
          </w:tcPr>
          <w:p>
            <w:pPr>
              <w:jc w:val="right"/>
            </w:pPr>
            <w:r>
              <w:rPr>
                <w:b w:val="0"/>
                <w:i w:val="0"/>
                <w:color w:val="1C5CAB"/>
                <w:sz w:val="15"/>
              </w:rPr>
              <w:t>+1.1%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(26)</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11</w:t>
            </w:r>
          </w:p>
        </w:tc>
        <w:tc>
          <w:tcPr>
            <w:tcW w:type="dxa" w:w="2189"/>
          </w:tcPr>
          <w:p>
            <w:r>
              <w:rPr>
                <w:b w:val="0"/>
                <w:i w:val="0"/>
                <w:sz w:val="15"/>
              </w:rPr>
              <w:t>Sembcorp Industries ★</w:t>
            </w:r>
          </w:p>
        </w:tc>
        <w:tc>
          <w:tcPr>
            <w:tcW w:type="dxa" w:w="662"/>
          </w:tcPr>
          <w:p>
            <w:pPr>
              <w:jc w:val="right"/>
            </w:pPr>
            <w:r>
              <w:rPr>
                <w:b w:val="0"/>
                <w:i w:val="0"/>
                <w:color w:val="1C5CAB"/>
                <w:sz w:val="15"/>
              </w:rPr>
              <w:t>+0.5%</w:t>
            </w:r>
          </w:p>
        </w:tc>
        <w:tc>
          <w:tcPr>
            <w:tcW w:type="dxa" w:w="792"/>
          </w:tcPr>
          <w:p>
            <w:pPr>
              <w:jc w:val="right"/>
            </w:pPr>
            <w:r>
              <w:rPr>
                <w:b w:val="0"/>
                <w:i w:val="0"/>
                <w:color w:val="A12D2C"/>
                <w:sz w:val="15"/>
              </w:rPr>
              <w:t>-0.5%</w:t>
            </w:r>
          </w:p>
        </w:tc>
        <w:tc>
          <w:tcPr>
            <w:tcW w:type="dxa" w:w="1037"/>
            <w:shd w:val="clear" w:color="auto" w:fill="DCEAFB"/>
          </w:tcPr>
          <w:p>
            <w:r>
              <w:rPr>
                <w:b/>
                <w:i w:val="0"/>
                <w:color w:val="1C5CAB"/>
                <w:sz w:val="15"/>
              </w:rPr>
              <w:t>Positive</w:t>
            </w:r>
          </w:p>
        </w:tc>
        <w:tc>
          <w:tcPr>
            <w:tcW w:type="dxa" w:w="1382"/>
          </w:tcPr>
          <w:p>
            <w:r>
              <w:rPr>
                <w:b w:val="0"/>
                <w:i w:val="0"/>
                <w:sz w:val="15"/>
              </w:rPr>
              <w:t>Mixed (23)</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1C5CAB"/>
                <w:sz w:val="15"/>
              </w:rPr>
              <w:t>+2.1%</w:t>
            </w:r>
          </w:p>
        </w:tc>
        <w:tc>
          <w:tcPr>
            <w:tcW w:type="dxa" w:w="792"/>
            <w:shd w:val="clear" w:color="auto" w:fill="F7F7F5"/>
          </w:tcPr>
          <w:p>
            <w:pPr>
              <w:jc w:val="right"/>
            </w:pPr>
            <w:r>
              <w:rPr>
                <w:b w:val="0"/>
                <w:i w:val="0"/>
                <w:color w:val="1C5CAB"/>
                <w:sz w:val="15"/>
              </w:rPr>
              <w:t>+2.4%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(22)</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13</w:t>
            </w:r>
          </w:p>
        </w:tc>
        <w:tc>
          <w:tcPr>
            <w:tcW w:type="dxa" w:w="2189"/>
          </w:tcPr>
          <w:p>
            <w:r>
              <w:rPr>
                <w:b w:val="0"/>
                <w:i w:val="0"/>
                <w:sz w:val="15"/>
              </w:rPr>
              <w:t>Ascendas REIT ★</w:t>
            </w:r>
          </w:p>
        </w:tc>
        <w:tc>
          <w:tcPr>
            <w:tcW w:type="dxa" w:w="662"/>
          </w:tcPr>
          <w:p>
            <w:pPr>
              <w:jc w:val="right"/>
            </w:pPr>
            <w:r>
              <w:rPr>
                <w:b w:val="0"/>
                <w:i w:val="0"/>
                <w:color w:val="A12D2C"/>
                <w:sz w:val="15"/>
              </w:rPr>
              <w:t>-1.2%</w:t>
            </w:r>
          </w:p>
        </w:tc>
        <w:tc>
          <w:tcPr>
            <w:tcW w:type="dxa" w:w="792"/>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tcPr>
          <w:p>
            <w:r>
              <w:rPr>
                <w:b w:val="0"/>
                <w:i w:val="0"/>
                <w:sz w:val="15"/>
              </w:rPr>
              <w:t>Mixed (22)</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Mapletree Pan Asia Comm. Trust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(18)</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1C5CAB"/>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(25)</w:t>
            </w:r>
          </w:p>
        </w:tc>
        <w:tc>
          <w:tcPr>
            <w:tcW w:type="dxa" w:w="1872"/>
          </w:tcPr>
          <w:p>
            <w:r>
              <w:rPr>
                <w:b w:val="0"/>
                <w:i w:val="0"/>
                <w:sz w:val="15"/>
              </w:rPr>
              <w:t>Above avg price</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27 Aug–02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02.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DBS Group</w:t>
            </w:r>
            <w:r>
              <w:rPr>
                <w:b w:val="0"/>
                <w:i w:val="0"/>
                <w:color w:val="52514E"/>
                <w:sz w:val="17"/>
              </w:rPr>
              <w:t xml:space="preserve">   Banking  ·  +1.8% over 27 Aug–02 Sep</w:t>
            </w:r>
          </w:p>
          <w:p>
            <w:pPr>
              <w:spacing w:after="10" w:line="240" w:lineRule="auto"/>
            </w:pPr>
            <w:r>
              <w:rPr>
                <w:b/>
                <w:i w:val="0"/>
                <w:color w:val="1A2E55"/>
                <w:sz w:val="16"/>
              </w:rPr>
              <w:t xml:space="preserve">In short (AI-written, checked)  </w:t>
            </w:r>
            <w:r>
              <w:rPr>
                <w:b w:val="0"/>
                <w:i w:val="0"/>
                <w:sz w:val="16"/>
              </w:rPr>
              <w:t>DBS Group rose 1.8% over 27–02 Sep and today’s news is already in the price. The news and price move together in the same direction, and the five-day context looks sector-wide. The forecast model expects no big move, a weak signal that deserves little weight.</w:t>
            </w:r>
          </w:p>
          <w:p>
            <w:pPr>
              <w:spacing w:after="10" w:line="240" w:lineRule="auto"/>
            </w:pPr>
            <w:r>
              <w:rPr>
                <w:b/>
                <w:i w:val="0"/>
                <w:color w:val="1A2E55"/>
                <w:sz w:val="16"/>
              </w:rPr>
              <w:t xml:space="preserve">What happened  </w:t>
            </w:r>
            <w:r>
              <w:rPr>
                <w:b w:val="0"/>
                <w:i w:val="0"/>
                <w:sz w:val="16"/>
              </w:rPr>
              <w:t>Rose 1.8% over 27 Aug–02 Sep, most of it on Mon 31 Aug (+1.6%). Today +0.9%.</w:t>
            </w:r>
          </w:p>
          <w:p>
            <w:pPr>
              <w:spacing w:after="10" w:line="240" w:lineRule="auto"/>
            </w:pPr>
            <w:r>
              <w:rPr>
                <w:b/>
                <w:i w:val="0"/>
                <w:color w:val="1A2E55"/>
                <w:sz w:val="16"/>
              </w:rPr>
              <w:t xml:space="preserve">Today: news vs price  </w:t>
            </w:r>
            <w:r>
              <w:rPr>
                <w:b w:val="0"/>
                <w:i w:val="0"/>
                <w:sz w:val="16"/>
              </w:rPr>
              <w:t>Positive reading and the price rose 0.9%, more than a normal day's ±0.6%: the news already shows in the price. The forecast model expects no big move from here. (Pattern: Move complete.)</w:t>
            </w:r>
          </w:p>
          <w:p>
            <w:pPr>
              <w:spacing w:after="10" w:line="240" w:lineRule="auto"/>
            </w:pPr>
            <w:r>
              <w:rPr>
                <w:b/>
                <w:i w:val="0"/>
                <w:color w:val="1A2E55"/>
                <w:sz w:val="16"/>
              </w:rPr>
              <w:t xml:space="preserve">Last 5 days in context  </w:t>
            </w:r>
            <w:r>
              <w:rPr>
                <w:b w:val="0"/>
                <w:i w:val="0"/>
                <w:sz w:val="16"/>
              </w:rPr>
              <w:t>Company news collected today was mostly positive; the price rose 1.8% over 27 Aug–02 Sep, its 2 sector peers +1.7% on average, and the 15 stocks -0.2% on average. So the company news and the price point the same way, and the move looks sector-wide.</w:t>
            </w:r>
          </w:p>
          <w:p>
            <w:pPr>
              <w:spacing w:after="10" w:line="240" w:lineRule="auto"/>
            </w:pPr>
            <w:r>
              <w:rPr>
                <w:b/>
                <w:i w:val="0"/>
                <w:color w:val="1A2E55"/>
                <w:sz w:val="16"/>
              </w:rPr>
              <w:t xml:space="preserve">News today  </w:t>
            </w:r>
            <w:r>
              <w:rPr>
                <w:b w:val="0"/>
                <w:i w:val="0"/>
                <w:sz w:val="16"/>
              </w:rPr>
              <w:t>50 articles collected today: 29 positive, 8 negative, 13 neutral (mostly positive). Event tags: dividend, earnings, management change, upgrade.</w:t>
            </w:r>
          </w:p>
          <w:p>
            <w:pPr>
              <w:spacing w:after="10" w:line="240" w:lineRule="auto"/>
            </w:pPr>
            <w:r>
              <w:rPr>
                <w:b/>
                <w:i w:val="0"/>
                <w:color w:val="1A2E55"/>
                <w:sz w:val="16"/>
              </w:rPr>
              <w:t xml:space="preserve">Headlines  </w:t>
            </w:r>
            <w:r>
              <w:rPr>
                <w:b w:val="0"/>
                <w:i w:val="0"/>
                <w:sz w:val="16"/>
              </w:rPr>
              <w:t>+ “DBS sees choppy Q3 for STI as investors pivot from Singapore banks to listcos that are unloc…” (The Business Times, 07 Aug)</w:t>
            </w:r>
          </w:p>
          <w:p>
            <w:pPr>
              <w:spacing w:after="10" w:line="240" w:lineRule="auto"/>
            </w:pPr>
            <w:r>
              <w:rPr>
                <w:b/>
                <w:i w:val="0"/>
                <w:color w:val="1A2E55"/>
                <w:sz w:val="16"/>
              </w:rPr>
              <w:t xml:space="preserve">Price chart  </w:t>
            </w:r>
            <w:r>
              <w:rPr>
                <w:b w:val="0"/>
                <w:i w:val="0"/>
                <w:sz w:val="16"/>
              </w:rPr>
              <w:t>RSI 64,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+0.70; positive above +0.35, negative below −0.35), and on all 2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DBS Group maintains a positive outlook driven by a positive geopolitical backdrop, record net profit and dividend hikes, and weekly trend confirmation, all reinforced by options market positive positioning and strong positive news coverage. The bank’s recent earnings beat expectations, with a 45% rise in Q2 2023 net profit and a 33% dividend increase, and its share price has broken the S$50 level, signaling investor confidence. However, elevated political news volume and negative macro headlines about a potential global recession introduce downside risk, and ML ML-model analysis flags negative news share as a drag on next‑day returns. Despite these cautions, the consensus remains positive, with the rule‑based and ML models aligning on a positive trajectory.</w:t>
            </w:r>
          </w:p>
          <w:p>
            <w:pPr>
              <w:spacing w:after="10" w:line="240" w:lineRule="auto"/>
            </w:pPr>
            <w:r>
              <w:rPr>
                <w:b/>
                <w:i w:val="0"/>
                <w:color w:val="1A2E55"/>
                <w:sz w:val="16"/>
              </w:rPr>
              <w:t xml:space="preserve">Forecast lean  </w:t>
            </w:r>
            <w:r>
              <w:rPr>
                <w:b w:val="0"/>
                <w:i w:val="0"/>
                <w:sz w:val="16"/>
              </w:rPr>
              <w:t>No big move over the next 3 trading days (chance 53%); its normal 3-day swing is ±1.9%.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-2.4% over 27 Aug–02 Sep</w:t>
            </w:r>
          </w:p>
          <w:p>
            <w:pPr>
              <w:spacing w:after="10" w:line="240" w:lineRule="auto"/>
            </w:pPr>
            <w:r>
              <w:rPr>
                <w:b/>
                <w:i w:val="0"/>
                <w:color w:val="1A2E55"/>
                <w:sz w:val="16"/>
              </w:rPr>
              <w:t xml:space="preserve">In short (AI-written, checked)  </w:t>
            </w:r>
            <w:r>
              <w:rPr>
                <w:b w:val="0"/>
                <w:i w:val="0"/>
                <w:sz w:val="16"/>
              </w:rPr>
              <w:t>SGX Group fell 2.4% over 27–02 Sep and today’s news is not yet in the price. The news and price disagree, and the five-day context looks sector-wide. The forecast model expects a rise, but its record is worse than a simple rule, so it deserves little weight.</w:t>
            </w:r>
          </w:p>
          <w:p>
            <w:pPr>
              <w:spacing w:after="10" w:line="240" w:lineRule="auto"/>
            </w:pPr>
            <w:r>
              <w:rPr>
                <w:b/>
                <w:i w:val="0"/>
                <w:color w:val="1A2E55"/>
                <w:sz w:val="16"/>
              </w:rPr>
              <w:t xml:space="preserve">What happened  </w:t>
            </w:r>
            <w:r>
              <w:rPr>
                <w:b w:val="0"/>
                <w:i w:val="0"/>
                <w:sz w:val="16"/>
              </w:rPr>
              <w:t>Fell 2.4% over 27 Aug–02 Sep, most of it on Tue 01 Sep (-2.2%). Today +0.0%.</w:t>
            </w:r>
          </w:p>
          <w:p>
            <w:pPr>
              <w:spacing w:after="10" w:line="240" w:lineRule="auto"/>
            </w:pPr>
            <w:r>
              <w:rPr>
                <w:b/>
                <w:i w:val="0"/>
                <w:color w:val="1A2E55"/>
                <w:sz w:val="16"/>
              </w:rPr>
              <w:t xml:space="preserve">Today: news vs price  </w:t>
            </w:r>
            <w:r>
              <w:rPr>
                <w:b w:val="0"/>
                <w:i w:val="0"/>
                <w:sz w:val="16"/>
              </w:rPr>
              <w:t>Positive reading, but the price was unchanged,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mostly positive; the price fell 2.4% over 27 Aug–02 Sep, against -0.2% for the 15 stocks on average. So the company news and the price disagree.</w:t>
            </w:r>
          </w:p>
          <w:p>
            <w:pPr>
              <w:spacing w:after="10" w:line="240" w:lineRule="auto"/>
            </w:pPr>
            <w:r>
              <w:rPr>
                <w:b/>
                <w:i w:val="0"/>
                <w:color w:val="1A2E55"/>
                <w:sz w:val="16"/>
              </w:rPr>
              <w:t xml:space="preserve">News today  </w:t>
            </w:r>
            <w:r>
              <w:rPr>
                <w:b w:val="0"/>
                <w:i w:val="0"/>
                <w:sz w:val="16"/>
              </w:rPr>
              <w:t>50 articles collected today: 27 positive, 4 negative, 19 neutral (mostly positive). Event tags: dividend, earnings, merger or acquisition, management change, upgrade.</w:t>
            </w:r>
          </w:p>
          <w:p>
            <w:pPr>
              <w:spacing w:after="10" w:line="240" w:lineRule="auto"/>
            </w:pPr>
            <w:r>
              <w:rPr>
                <w:b/>
                <w:i w:val="0"/>
                <w:color w:val="1A2E55"/>
                <w:sz w:val="16"/>
              </w:rPr>
              <w:t xml:space="preserve">Headlines  </w:t>
            </w:r>
            <w:r>
              <w:rPr>
                <w:b w:val="0"/>
                <w:i w:val="0"/>
                <w:sz w:val="16"/>
              </w:rPr>
              <w:t>+ “SGX has IPO pipeline of around 50 companies in various stages of readiness amid record results” (The Business Times, 06 Aug)   − “ROEs of SGX mid-caps are a mixed bag, small-caps lag” (The Business Times, 31 Aug)</w:t>
            </w:r>
          </w:p>
          <w:p>
            <w:pPr>
              <w:spacing w:after="10" w:line="240" w:lineRule="auto"/>
            </w:pPr>
            <w:r>
              <w:rPr>
                <w:b/>
                <w:i w:val="0"/>
                <w:color w:val="1A2E55"/>
                <w:sz w:val="16"/>
              </w:rPr>
              <w:t xml:space="preserve">Price chart  </w:t>
            </w:r>
            <w:r>
              <w:rPr>
                <w:b w:val="0"/>
                <w:i w:val="0"/>
                <w:sz w:val="16"/>
              </w:rPr>
              <w:t>RSI 47,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+0.70; positive above +0.35, negative below −0.35), and on all 2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SGX remains positive on the back of a positive geopolitical backdrop, strong corporate events, and a positive company news sentiment, all reinforced by weekly trend confirmation from both ML models. Recent headlines such as "SGX securities turnover rises 70% in May" and "SGX enters its new phase of growth, analysts are upbeat" further support the upside narrative. However, the analysis also flags elevated political news volume and global recession risk as significant headwinds, and the ML models themselves predict a neutral next‑day return, underscoring the need for caution despite the overall positive stance.</w:t>
            </w:r>
          </w:p>
          <w:p>
            <w:pPr>
              <w:spacing w:after="10" w:line="240" w:lineRule="auto"/>
            </w:pPr>
            <w:r>
              <w:rPr>
                <w:b/>
                <w:i w:val="0"/>
                <w:color w:val="1A2E55"/>
                <w:sz w:val="16"/>
              </w:rPr>
              <w:t xml:space="preserve">Forecast lean  </w:t>
            </w:r>
            <w:r>
              <w:rPr>
                <w:b w:val="0"/>
                <w:i w:val="0"/>
                <w:sz w:val="16"/>
              </w:rPr>
              <w:t>Rise over the next 3 trading days (chance 57%); its normal 3-day swing is ±2.1%.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CapitaLand Integrated Commercial Trust</w:t>
            </w:r>
            <w:r>
              <w:rPr>
                <w:b w:val="0"/>
                <w:i w:val="0"/>
                <w:color w:val="52514E"/>
                <w:sz w:val="17"/>
              </w:rPr>
              <w:t xml:space="preserve">   REIT  ·  -1.7% over 27 Aug–02 Sep</w:t>
            </w:r>
          </w:p>
          <w:p>
            <w:pPr>
              <w:spacing w:after="10" w:line="240" w:lineRule="auto"/>
            </w:pPr>
            <w:r>
              <w:rPr>
                <w:b/>
                <w:i w:val="0"/>
                <w:color w:val="1A2E55"/>
                <w:sz w:val="16"/>
              </w:rPr>
              <w:t xml:space="preserve">In short (AI-written, checked)  </w:t>
            </w:r>
            <w:r>
              <w:rPr>
                <w:b w:val="0"/>
                <w:i w:val="0"/>
                <w:sz w:val="16"/>
              </w:rPr>
              <w:t>CapitaLand Integrated Commercial Trust fell 1.7% over 27–02 Sep and today’s news is not yet in the price. The news and price disagree, and the move looks sector-wide. The forecast model expects no big move, a weak signal that deserves little weight.</w:t>
            </w:r>
          </w:p>
          <w:p>
            <w:pPr>
              <w:spacing w:after="10" w:line="240" w:lineRule="auto"/>
            </w:pPr>
            <w:r>
              <w:rPr>
                <w:b/>
                <w:i w:val="0"/>
                <w:color w:val="1A2E55"/>
                <w:sz w:val="16"/>
              </w:rPr>
              <w:t xml:space="preserve">What happened  </w:t>
            </w:r>
            <w:r>
              <w:rPr>
                <w:b w:val="0"/>
                <w:i w:val="0"/>
                <w:sz w:val="16"/>
              </w:rPr>
              <w:t>Fell 1.7% over 27 Aug–02 Sep; its biggest day was Tue 01 Sep (-0.8%). Today -0.4%.</w:t>
            </w:r>
          </w:p>
          <w:p>
            <w:pPr>
              <w:spacing w:after="10" w:line="240" w:lineRule="auto"/>
            </w:pPr>
            <w:r>
              <w:rPr>
                <w:b/>
                <w:i w:val="0"/>
                <w:color w:val="1A2E55"/>
                <w:sz w:val="16"/>
              </w:rPr>
              <w:t xml:space="preserve">Today: news vs price  </w:t>
            </w:r>
            <w:r>
              <w:rPr>
                <w:b w:val="0"/>
                <w:i w:val="0"/>
                <w:sz w:val="16"/>
              </w:rPr>
              <w:t>Positive reading, but the price fell 0.4%, within a normal day's ±0.6%: the news has not shown up in the price. The forecast model expects no big move. (Pattern: Dormant.)</w:t>
            </w:r>
          </w:p>
          <w:p>
            <w:pPr>
              <w:spacing w:after="10" w:line="240" w:lineRule="auto"/>
            </w:pPr>
            <w:r>
              <w:rPr>
                <w:b/>
                <w:i w:val="0"/>
                <w:color w:val="1A2E55"/>
                <w:sz w:val="16"/>
              </w:rPr>
              <w:t xml:space="preserve">Last 5 days in context  </w:t>
            </w:r>
            <w:r>
              <w:rPr>
                <w:b w:val="0"/>
                <w:i w:val="0"/>
                <w:sz w:val="16"/>
              </w:rPr>
              <w:t>Company news collected today was mostly positive; the price fell 1.7% over 27 Aug–02 Sep, its 3 sector peers -1.3% on average, and the 15 stocks -0.2% on average. So the company news and the price disagree; the move looks sector-wide.</w:t>
            </w:r>
          </w:p>
          <w:p>
            <w:pPr>
              <w:spacing w:after="10" w:line="240" w:lineRule="auto"/>
            </w:pPr>
            <w:r>
              <w:rPr>
                <w:b/>
                <w:i w:val="0"/>
                <w:color w:val="1A2E55"/>
                <w:sz w:val="16"/>
              </w:rPr>
              <w:t xml:space="preserve">News today  </w:t>
            </w:r>
            <w:r>
              <w:rPr>
                <w:b w:val="0"/>
                <w:i w:val="0"/>
                <w:sz w:val="16"/>
              </w:rPr>
              <w:t>29 articles collected today: 14 positive, 6 negative, 9 neutral (mostly positive). Event tags: dividend, earnings, merger or acquisition.</w:t>
            </w:r>
          </w:p>
          <w:p>
            <w:pPr>
              <w:spacing w:after="10" w:line="240" w:lineRule="auto"/>
            </w:pPr>
            <w:r>
              <w:rPr>
                <w:b/>
                <w:i w:val="0"/>
                <w:color w:val="1A2E55"/>
                <w:sz w:val="16"/>
              </w:rPr>
              <w:t xml:space="preserve">Headlines  </w:t>
            </w:r>
            <w:r>
              <w:rPr>
                <w:b w:val="0"/>
                <w:i w:val="0"/>
                <w:sz w:val="16"/>
              </w:rPr>
              <w:t>+ “CapitaLand Integrated Commercial Trust and SGX in focus: Weekly Review with SIAS” (Growbeansprout.com, 16 Aug)</w:t>
            </w:r>
          </w:p>
          <w:p>
            <w:pPr>
              <w:spacing w:after="10" w:line="240" w:lineRule="auto"/>
            </w:pPr>
            <w:r>
              <w:rPr>
                <w:b/>
                <w:i w:val="0"/>
                <w:color w:val="1A2E55"/>
                <w:sz w:val="16"/>
              </w:rPr>
              <w:t xml:space="preserve">Price chart  </w:t>
            </w:r>
            <w:r>
              <w:rPr>
                <w:b w:val="0"/>
                <w:i w:val="0"/>
                <w:sz w:val="16"/>
              </w:rPr>
              <w:t>RSI 36, between 30 and 70: no unusually fast move.</w:t>
            </w:r>
          </w:p>
          <w:p>
            <w:pPr>
              <w:spacing w:after="10" w:line="240" w:lineRule="auto"/>
            </w:pPr>
            <w:r>
              <w:rPr>
                <w:b/>
                <w:i w:val="0"/>
                <w:color w:val="1A2E55"/>
                <w:sz w:val="16"/>
              </w:rPr>
              <w:t xml:space="preserve">News &amp; signals reading  </w:t>
            </w:r>
            <w:r>
              <w:rPr>
                <w:b w:val="0"/>
                <w:i w:val="0"/>
                <w:sz w:val="16"/>
              </w:rPr>
              <w:t>Positive today (score +0.53; positive above +0.35, negative below −0.35), and on all 2 earlier recorded days. It needs both 'Earnings/dividend headlines' and the positive news: without either it would be neutral.</w:t>
            </w:r>
          </w:p>
          <w:p>
            <w:pPr>
              <w:spacing w:after="10" w:line="240" w:lineRule="auto"/>
            </w:pPr>
            <w:r>
              <w:rPr>
                <w:b/>
                <w:i w:val="0"/>
                <w:color w:val="1A2E55"/>
                <w:sz w:val="16"/>
              </w:rPr>
              <w:t xml:space="preserve">Rules behind the reading  </w:t>
            </w:r>
            <w:r>
              <w:rPr>
                <w:b w:val="0"/>
                <w:i w:val="0"/>
                <w:sz w:val="16"/>
              </w:rPr>
              <w:t>Up: earnings/dividend headlines +0.20, positive company news +0.18.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CapitaLand Integrated Commercial Trust remains positive as rule‑based analysis highlights a positive geopolitical backdrop, strong corporate events and positive company news, all reinforced by a positive options market stance. Recent earnings releases – such as the 7.9% rise in net property income and the 16.4% surge in second‑half distribution – further underpin the outlook, while the ML-model‑derived momentum signals (RSI +0.136, positive news share +0.134, price above VWAP +0.097, yield curve spread +0.071) confirm a favorable technical environment. However, elevated political news volume and macro‑risk headlines about the Iran conflict and weakening Asian currencies temper the view, and the ML models’ neutral stance adds a layer of caution.</w:t>
            </w:r>
          </w:p>
          <w:p>
            <w:pPr>
              <w:spacing w:after="10" w:line="240" w:lineRule="auto"/>
            </w:pPr>
            <w:r>
              <w:rPr>
                <w:b/>
                <w:i w:val="0"/>
                <w:color w:val="1A2E55"/>
                <w:sz w:val="16"/>
              </w:rPr>
              <w:t xml:space="preserve">Forecast lean  </w:t>
            </w:r>
            <w:r>
              <w:rPr>
                <w:b w:val="0"/>
                <w:i w:val="0"/>
                <w:sz w:val="16"/>
              </w:rPr>
              <w:t>No big move over the next 3 trading days (chance 57%); its normal 3-day swing is ±1.5%. Past record on this stock: about as good as a simple rule or better (✓), still only a weak signal.</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60%</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±0.8%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54%</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±1.3%</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58%</w:t>
            </w:r>
          </w:p>
        </w:tc>
        <w:tc>
          <w:tcPr>
            <w:tcW w:type="dxa" w:w="2016"/>
            <w:shd w:val="clear" w:color="auto" w:fill="E4F3E4"/>
          </w:tcPr>
          <w:p>
            <w:pPr>
              <w:keepNext/>
            </w:pPr>
            <w:r>
              <w:rPr>
                <w:b/>
                <w:i w:val="0"/>
                <w:color w:val="0A6E0A"/>
                <w:sz w:val="16"/>
              </w:rPr>
              <w:t>+29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±1.4%</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56%</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±1.5%</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57%</w:t>
            </w:r>
          </w:p>
        </w:tc>
        <w:tc>
          <w:tcPr>
            <w:tcW w:type="dxa" w:w="2016"/>
            <w:shd w:val="clear" w:color="auto" w:fill="E4F3E4"/>
          </w:tcPr>
          <w:p>
            <w:pPr>
              <w:keepNext/>
            </w:pPr>
            <w:r>
              <w:rPr>
                <w:b/>
                <w:i w:val="0"/>
                <w:color w:val="0A6E0A"/>
                <w:sz w:val="16"/>
              </w:rPr>
              <w:t>+14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55%</w:t>
            </w:r>
          </w:p>
        </w:tc>
        <w:tc>
          <w:tcPr>
            <w:tcW w:type="dxa" w:w="2016"/>
            <w:shd w:val="clear" w:color="auto" w:fill="FBE1E0"/>
          </w:tcPr>
          <w:p>
            <w:pPr>
              <w:keepNext/>
            </w:pPr>
            <w:r>
              <w:rPr>
                <w:b/>
                <w:i w:val="0"/>
                <w:color w:val="A12D2C"/>
                <w:sz w:val="16"/>
              </w:rPr>
              <w:t>−43 pts ✗</w:t>
            </w:r>
          </w:p>
        </w:tc>
      </w:tr>
      <w:tr>
        <w:tc>
          <w:tcPr>
            <w:tcW w:type="dxa" w:w="2664"/>
          </w:tcPr>
          <w:p>
            <w:pPr>
              <w:keepNext/>
            </w:pPr>
            <w:r>
              <w:rPr>
                <w:b w:val="0"/>
                <w:i w:val="0"/>
                <w:sz w:val="16"/>
              </w:rPr>
              <w:t>ComfortDelGro</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59%</w:t>
            </w:r>
          </w:p>
        </w:tc>
        <w:tc>
          <w:tcPr>
            <w:tcW w:type="dxa" w:w="2016"/>
            <w:shd w:val="clear" w:color="auto" w:fill="FBE1E0"/>
          </w:tcPr>
          <w:p>
            <w:pPr>
              <w:keepNext/>
            </w:pPr>
            <w:r>
              <w:rPr>
                <w:b/>
                <w:i w:val="0"/>
                <w:color w:val="A12D2C"/>
                <w:sz w:val="16"/>
              </w:rPr>
              <w:t>−14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DBS Group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53%</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SGX Group</w:t>
            </w:r>
          </w:p>
        </w:tc>
        <w:tc>
          <w:tcPr>
            <w:tcW w:type="dxa" w:w="1368"/>
            <w:shd w:val="clear" w:color="auto" w:fill="F7F7F5"/>
          </w:tcPr>
          <w:p>
            <w:pPr>
              <w:keepNext/>
              <w:jc w:val="right"/>
            </w:pPr>
            <w:r>
              <w:rPr>
                <w:b w:val="0"/>
                <w:i w:val="0"/>
                <w:sz w:val="16"/>
              </w:rPr>
              <w:t>±2.1%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57%</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Singtel</w:t>
            </w:r>
          </w:p>
        </w:tc>
        <w:tc>
          <w:tcPr>
            <w:tcW w:type="dxa" w:w="1368"/>
          </w:tcPr>
          <w:p>
            <w:pPr>
              <w:keepNext/>
              <w:jc w:val="right"/>
            </w:pPr>
            <w:r>
              <w:rPr>
                <w:b w:val="0"/>
                <w:i w:val="0"/>
                <w:sz w:val="16"/>
              </w:rPr>
              <w:t>±2.4%</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57%</w:t>
            </w:r>
          </w:p>
        </w:tc>
        <w:tc>
          <w:tcPr>
            <w:tcW w:type="dxa" w:w="2016"/>
            <w:shd w:val="clear" w:color="auto" w:fill="FBE1E0"/>
          </w:tcPr>
          <w:p>
            <w:pPr>
              <w:keepNext/>
            </w:pPr>
            <w:r>
              <w:rPr>
                <w:b/>
                <w:i w:val="0"/>
                <w:color w:val="A12D2C"/>
                <w:sz w:val="16"/>
              </w:rPr>
              <w:t>−71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50%</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59%</w:t>
            </w:r>
          </w:p>
        </w:tc>
        <w:tc>
          <w:tcPr>
            <w:tcW w:type="dxa" w:w="2016"/>
            <w:shd w:val="clear" w:color="auto" w:fill="FBE1E0"/>
          </w:tcPr>
          <w:p>
            <w:pPr>
              <w:keepNext/>
            </w:pPr>
            <w:r>
              <w:rPr>
                <w:b/>
                <w:i w:val="0"/>
                <w:color w:val="A12D2C"/>
                <w:sz w:val="16"/>
              </w:rPr>
              <w:t>−14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60%</w:t>
            </w:r>
          </w:p>
        </w:tc>
        <w:tc>
          <w:tcPr>
            <w:tcW w:type="dxa" w:w="2016"/>
            <w:shd w:val="clear" w:color="auto" w:fill="E4F3E4"/>
          </w:tcPr>
          <w:p>
            <w:pPr>
              <w:keepNext/>
            </w:pPr>
            <w:r>
              <w:rPr>
                <w:b/>
                <w:i w:val="0"/>
                <w:color w:val="0A6E0A"/>
                <w:sz w:val="16"/>
              </w:rPr>
              <w:t>+57 pts ✓</w:t>
            </w:r>
          </w:p>
        </w:tc>
      </w:tr>
      <w:tr>
        <w:tc>
          <w:tcPr>
            <w:tcW w:type="dxa" w:w="2664"/>
          </w:tcPr>
          <w:p>
            <w:r>
              <w:rPr>
                <w:b w:val="0"/>
                <w:i w:val="0"/>
                <w:sz w:val="16"/>
              </w:rPr>
              <w:t>Wilmar Intl</w:t>
            </w:r>
          </w:p>
        </w:tc>
        <w:tc>
          <w:tcPr>
            <w:tcW w:type="dxa" w:w="1368"/>
          </w:tcPr>
          <w:p>
            <w:pPr>
              <w:jc w:val="right"/>
            </w:pPr>
            <w:r>
              <w:rPr>
                <w:b w:val="0"/>
                <w:i w:val="0"/>
                <w:sz w:val="16"/>
              </w:rPr>
              <w:t>±3.1%</w:t>
            </w:r>
          </w:p>
        </w:tc>
        <w:tc>
          <w:tcPr>
            <w:tcW w:type="dxa" w:w="1440"/>
          </w:tcPr>
          <w:p>
            <w:r>
              <w:rPr>
                <w:b w:val="0"/>
                <w:i w:val="0"/>
                <w:sz w:val="16"/>
              </w:rPr>
            </w:r>
          </w:p>
        </w:tc>
        <w:tc>
          <w:tcPr>
            <w:tcW w:type="dxa" w:w="1440"/>
          </w:tcPr>
          <w:p>
            <w:r>
              <w:rPr>
                <w:b w:val="0"/>
                <w:i w:val="0"/>
                <w:color w:val="52514E"/>
                <w:sz w:val="16"/>
              </w:rPr>
              <w:t>No big move</w:t>
            </w:r>
          </w:p>
        </w:tc>
        <w:tc>
          <w:tcPr>
            <w:tcW w:type="dxa" w:w="1008"/>
          </w:tcPr>
          <w:p>
            <w:pPr>
              <w:jc w:val="right"/>
            </w:pPr>
            <w:r>
              <w:rPr>
                <w:b w:val="0"/>
                <w:i w:val="0"/>
                <w:sz w:val="16"/>
              </w:rPr>
              <w:t>51%</w:t>
            </w:r>
          </w:p>
        </w:tc>
        <w:tc>
          <w:tcPr>
            <w:tcW w:type="dxa" w:w="2016"/>
            <w:shd w:val="clear" w:color="auto" w:fill="E4F3E4"/>
          </w:tcPr>
          <w:p>
            <w:r>
              <w:rPr>
                <w:b/>
                <w:i w:val="0"/>
                <w:color w:val="0A6E0A"/>
                <w:sz w:val="16"/>
              </w:rPr>
              <w:t>+29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ST Engineering, Sembcorp Industries, Ascendas REIT and CapitaLand Integ. Comm. Trust: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47% of 105 past calls, against 61% for always guessing 'no big move'. Calls marked ✓ were right 49%, the rest 39%, but the gain is in 'no big move' calls (62% right); ✓ rise-or-fall calls were right only 31% of 32, so a ✓ never makes a direction likely. Before its probabilities were refitted, chances of 90% or more were right only 46% of the time. Today's chances run from 50% to 60%, so no stock stands out.</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509 company news articles (each read as positive, negative or neutral by FinBERT, a finance language model) and 72 political articles; price-chart indicators (RSI, MACD, Bollinger bands, VWAP, weekly trend); the market backdrop (VIX 16.3, US yield spread); Singapore ETF options positioning (put/call 0.19).</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Dormant (4)</w:t>
            </w:r>
          </w:p>
        </w:tc>
        <w:tc>
          <w:tcPr>
            <w:tcW w:type="dxa" w:w="3312"/>
          </w:tcPr>
          <w:p>
            <w:r>
              <w:rPr>
                <w:b w:val="0"/>
                <w:i w:val="0"/>
                <w:sz w:val="15"/>
              </w:rPr>
              <w:t>CapitaLand Integ. Comm. Trust, Keppel Corp, Sembcorp Industries, Raffles Medical Group</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Move complete (3)</w:t>
            </w:r>
          </w:p>
        </w:tc>
        <w:tc>
          <w:tcPr>
            <w:tcW w:type="dxa" w:w="3312"/>
            <w:shd w:val="clear" w:color="auto" w:fill="F7F7F5"/>
          </w:tcPr>
          <w:p>
            <w:r>
              <w:rPr>
                <w:b w:val="0"/>
                <w:i w:val="0"/>
                <w:sz w:val="15"/>
              </w:rPr>
              <w:t>DBS Group, OCBC Bank, Wilmar Intl</w:t>
            </w:r>
          </w:p>
        </w:tc>
        <w:tc>
          <w:tcPr>
            <w:tcW w:type="dxa" w:w="4824"/>
            <w:shd w:val="clear" w:color="auto" w:fill="F7F7F5"/>
          </w:tcPr>
          <w:p>
            <w:r>
              <w:rPr>
                <w:b w:val="0"/>
                <w:i w:val="0"/>
                <w:sz w:val="15"/>
              </w:rPr>
              <w:t>the signals played out today; nothing further expected</w:t>
            </w:r>
          </w:p>
        </w:tc>
      </w:tr>
      <w:tr>
        <w:tc>
          <w:tcPr>
            <w:tcW w:type="dxa" w:w="1800"/>
          </w:tcPr>
          <w:p>
            <w:r>
              <w:rPr>
                <w:b/>
                <w:i w:val="0"/>
                <w:sz w:val="15"/>
              </w:rPr>
              <w:t>Quiet (3)</w:t>
            </w:r>
          </w:p>
        </w:tc>
        <w:tc>
          <w:tcPr>
            <w:tcW w:type="dxa" w:w="3312"/>
          </w:tcPr>
          <w:p>
            <w:r>
              <w:rPr>
                <w:b w:val="0"/>
                <w:i w:val="0"/>
                <w:sz w:val="15"/>
              </w:rPr>
              <w:t>Mapletree Pan Asia Comm. Trust, Ascendas REIT, Mapletree Industrial</w:t>
            </w:r>
          </w:p>
        </w:tc>
        <w:tc>
          <w:tcPr>
            <w:tcW w:type="dxa" w:w="4824"/>
          </w:tcPr>
          <w:p>
            <w:r>
              <w:rPr>
                <w:b w:val="0"/>
                <w:i w:val="0"/>
                <w:sz w:val="15"/>
              </w:rPr>
              <w:t>no directional signal today</w:t>
            </w:r>
          </w:p>
        </w:tc>
      </w:tr>
      <w:tr>
        <w:tc>
          <w:tcPr>
            <w:tcW w:type="dxa" w:w="1800"/>
            <w:shd w:val="clear" w:color="auto" w:fill="F7F7F5"/>
          </w:tcPr>
          <w:p>
            <w:r>
              <w:rPr>
                <w:b/>
                <w:i w:val="0"/>
                <w:sz w:val="15"/>
              </w:rPr>
              <w:t>Muted, pending (3)</w:t>
            </w:r>
          </w:p>
        </w:tc>
        <w:tc>
          <w:tcPr>
            <w:tcW w:type="dxa" w:w="3312"/>
            <w:shd w:val="clear" w:color="auto" w:fill="F7F7F5"/>
          </w:tcPr>
          <w:p>
            <w:r>
              <w:rPr>
                <w:b w:val="0"/>
                <w:i w:val="0"/>
                <w:sz w:val="15"/>
              </w:rPr>
              <w:t>Singtel, ComfortDelGro, SGX Group</w:t>
            </w:r>
          </w:p>
        </w:tc>
        <w:tc>
          <w:tcPr>
            <w:tcW w:type="dxa" w:w="4824"/>
            <w:shd w:val="clear" w:color="auto" w:fill="F7F7F5"/>
          </w:tcPr>
          <w:p>
            <w:r>
              <w:rPr>
                <w:b w:val="0"/>
                <w:i w:val="0"/>
                <w:sz w:val="15"/>
              </w:rPr>
              <w:t>signals leaned one way, price barely moved; the model still expects that direction</w:t>
            </w:r>
          </w:p>
        </w:tc>
      </w:tr>
      <w:tr>
        <w:tc>
          <w:tcPr>
            <w:tcW w:type="dxa" w:w="1800"/>
          </w:tcPr>
          <w:p>
            <w:r>
              <w:rPr>
                <w:b/>
                <w:i w:val="0"/>
                <w:sz w:val="15"/>
              </w:rPr>
              <w:t>Momentum (1)</w:t>
            </w:r>
          </w:p>
        </w:tc>
        <w:tc>
          <w:tcPr>
            <w:tcW w:type="dxa" w:w="3312"/>
          </w:tcPr>
          <w:p>
            <w:r>
              <w:rPr>
                <w:b w:val="0"/>
                <w:i w:val="0"/>
                <w:sz w:val="15"/>
              </w:rPr>
              <w:t>UOB</w:t>
            </w:r>
          </w:p>
        </w:tc>
        <w:tc>
          <w:tcPr>
            <w:tcW w:type="dxa" w:w="4824"/>
          </w:tcPr>
          <w:p>
            <w:r>
              <w:rPr>
                <w:b w:val="0"/>
                <w:i w:val="0"/>
                <w:sz w:val="15"/>
              </w:rPr>
              <w:t>news and price agreed; the model expects the move to continue</w:t>
            </w:r>
          </w:p>
        </w:tc>
      </w:tr>
      <w:tr>
        <w:tc>
          <w:tcPr>
            <w:tcW w:type="dxa" w:w="1800"/>
            <w:shd w:val="clear" w:color="auto" w:fill="F7F7F5"/>
          </w:tcPr>
          <w:p>
            <w:r>
              <w:rPr>
                <w:b/>
                <w:i w:val="0"/>
                <w:sz w:val="15"/>
              </w:rPr>
              <w:t>Noise (1)</w:t>
            </w:r>
          </w:p>
        </w:tc>
        <w:tc>
          <w:tcPr>
            <w:tcW w:type="dxa" w:w="3312"/>
            <w:shd w:val="clear" w:color="auto" w:fill="F7F7F5"/>
          </w:tcPr>
          <w:p>
            <w:r>
              <w:rPr>
                <w:b w:val="0"/>
                <w:i w:val="0"/>
                <w:sz w:val="15"/>
              </w:rPr>
              <w:t>ST Engineering</w:t>
            </w:r>
          </w:p>
        </w:tc>
        <w:tc>
          <w:tcPr>
            <w:tcW w:type="dxa" w:w="4824"/>
            <w:shd w:val="clear" w:color="auto" w:fill="F7F7F5"/>
          </w:tcPr>
          <w:p>
            <w:r>
              <w:rPr>
                <w:b w:val="0"/>
                <w:i w:val="0"/>
                <w:sz w:val="15"/>
              </w:rPr>
              <w:t>price went against the signals; the model has no clear view</w:t>
            </w:r>
          </w:p>
        </w:tc>
      </w:tr>
    </w:tbl>
    <w:p>
      <w:pPr>
        <w:spacing w:after="40"/>
      </w:pPr>
      <w:r>
        <w:rPr>
          <w:b w:val="0"/>
          <w:i w:val="0"/>
          <w:color w:val="52514E"/>
          <w:sz w:val="15"/>
        </w:rPr>
        <w:t>The other patterns in the 11-pattern engine did not occur today; the full set is defined in the final report, Appendix C. The contradiction check rated 1 of 15 readings strongly mixed (named on the cards) and 9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47% of 105 vs 61%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46% of the time (59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49%, others 39%; the gain is in 'no big move' calls (62%). ✓ rise-or-fall calls: 31% of 32.</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02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