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90" w:type="dxa"/>
          <w:bottom w:w="90" w:type="dxa"/>
          <w:left w:w="140" w:type="dxa"/>
          <w:right w:w="140" w:type="dxa"/>
        </w:tblCellMar>
      </w:tblPr>
      <w:tblGrid>
        <w:gridCol w:w="5760"/>
        <w:gridCol w:w="4176"/>
      </w:tblGrid>
      <w:tr>
        <w:tc>
          <w:tcPr>
            <w:tcW w:type="dxa" w:w="5760"/>
            <w:shd w:val="clear" w:color="auto" w:fill="1A2E55"/>
          </w:tcPr>
          <w:p>
            <w:r>
              <w:rPr>
                <w:b/>
                <w:i w:val="0"/>
                <w:color w:val="FFFFFF"/>
                <w:sz w:val="38"/>
              </w:rPr>
              <w:t>SGX Daily Signal Report</w:t>
            </w:r>
          </w:p>
          <w:p>
            <w:r>
              <w:rPr>
                <w:b w:val="0"/>
                <w:i w:val="0"/>
                <w:color w:val="CDE2FB"/>
                <w:sz w:val="19"/>
              </w:rPr>
              <w:t>Thursday 03 September 2026  ·  data to the close</w:t>
            </w:r>
          </w:p>
        </w:tc>
        <w:tc>
          <w:tcPr>
            <w:tcW w:type="dxa" w:w="4176"/>
            <w:shd w:val="clear" w:color="auto" w:fill="1A2E55"/>
          </w:tcPr>
          <w:p>
            <w:pPr>
              <w:jc w:val="right"/>
            </w:pPr>
            <w:r>
              <w:rPr>
                <w:b/>
                <w:i w:val="0"/>
                <w:color w:val="FFFFFF"/>
                <w:sz w:val="17"/>
              </w:rPr>
              <w:t>15 SGX stocks  ·  7 sectors</w:t>
            </w:r>
          </w:p>
          <w:p>
            <w:pPr>
              <w:jc w:val="right"/>
            </w:pPr>
            <w:r>
              <w:rPr>
                <w:b w:val="0"/>
                <w:i w:val="0"/>
                <w:color w:val="CDE2FB"/>
                <w:sz w:val="17"/>
              </w:rPr>
              <w:t>Last 5 trading days: 28 Aug–03 Sep</w:t>
            </w:r>
          </w:p>
          <w:p>
            <w:pPr>
              <w:jc w:val="right"/>
            </w:pPr>
            <w:r>
              <w:rPr>
                <w:b w:val="0"/>
                <w:i w:val="0"/>
                <w:color w:val="CDE2FB"/>
                <w:sz w:val="17"/>
              </w:rPr>
              <w:t>Sections: 1 today · 2 news &amp; last 5 days · 3 next 3 days · 4 system · 5 findings</w:t>
            </w:r>
          </w:p>
        </w:tc>
      </w:tr>
    </w:tbl>
    <w:p>
      <w:pPr>
        <w:spacing w:after="0" w:line="240" w:lineRule="auto"/>
      </w:pPr>
      <w:r>
        <w:rPr>
          <w:sz w:val="6"/>
        </w:rPr>
      </w:r>
    </w:p>
    <w:p>
      <w:pPr>
        <w:keepNext/>
        <w:pageBreakBefore w:val="0"/>
        <w:spacing w:before="160" w:after="40"/>
        <w:pBdr>
          <w:bottom w:val="single" w:sz="6" w:space="2" w:color="CDE2FB"/>
        </w:pBdr>
      </w:pPr>
      <w:r>
        <w:rPr>
          <w:b/>
          <w:i w:val="0"/>
          <w:color w:val="1A2E55"/>
          <w:sz w:val="26"/>
        </w:rPr>
        <w:t>1 · Today in 30 seconds</w:t>
      </w:r>
    </w:p>
    <w:p>
      <w:pPr>
        <w:pStyle w:val="ListBullet"/>
        <w:spacing w:after="40"/>
      </w:pPr>
      <w:r>
        <w:rPr>
          <w:b/>
          <w:i w:val="0"/>
          <w:color w:val="1A2E55"/>
          <w:sz w:val="19"/>
        </w:rPr>
        <w:t xml:space="preserve">Today. </w:t>
      </w:r>
      <w:r>
        <w:rPr>
          <w:b w:val="0"/>
          <w:i w:val="0"/>
          <w:sz w:val="19"/>
        </w:rPr>
        <w:t>Today the 15 stocks moved -0.2% on average (6 up, 8 down); over 28–03 Sep they moved -0.1%. Weakest: REIT (-2.3%), Telecommunications (-1.6%) and Financial Services (-1.1%); strongest: Banking (+3.0%) and Consumer Goods (+0.9%).</w:t>
      </w:r>
    </w:p>
    <w:p>
      <w:pPr>
        <w:pStyle w:val="ListBullet"/>
        <w:spacing w:after="40"/>
      </w:pPr>
      <w:r>
        <w:rPr>
          <w:b/>
          <w:i w:val="0"/>
          <w:color w:val="1A2E55"/>
          <w:sz w:val="19"/>
        </w:rPr>
        <w:t xml:space="preserve">Why. </w:t>
      </w:r>
      <w:r>
        <w:rPr>
          <w:b w:val="0"/>
          <w:i w:val="0"/>
          <w:sz w:val="19"/>
        </w:rPr>
        <w:t>Biggest movers over 28–03 Sep: Mapletree Pan Asia Comm. Trust (-3.9%), OCBC Bank (+3.3%) and DBS Group (+3.0%). Mapletree Pan Asia Comm. Trust moved more than the market without a company news story. For OCBC Bank and DBS Group, the company news and the price point the same way. See section 2.</w:t>
      </w:r>
    </w:p>
    <w:p>
      <w:pPr>
        <w:pStyle w:val="ListBullet"/>
        <w:spacing w:after="40"/>
      </w:pPr>
      <w:r>
        <w:rPr>
          <w:b/>
          <w:i w:val="0"/>
          <w:color w:val="1A2E55"/>
          <w:sz w:val="19"/>
        </w:rPr>
        <w:t xml:space="preserve">Backdrop. </w:t>
      </w:r>
      <w:r>
        <w:rPr>
          <w:b w:val="0"/>
          <w:i w:val="0"/>
          <w:sz w:val="19"/>
        </w:rPr>
        <w:t>The market backdrop is normal (VIX 15.2), and Singapore ETF options are neutral (put/call 0.19).</w:t>
      </w:r>
    </w:p>
    <w:p>
      <w:pPr>
        <w:pStyle w:val="ListBullet"/>
        <w:spacing w:after="40"/>
      </w:pPr>
      <w:r>
        <w:rPr>
          <w:b/>
          <w:i w:val="0"/>
          <w:color w:val="1A2E55"/>
          <w:sz w:val="19"/>
        </w:rPr>
        <w:t xml:space="preserve">New today. </w:t>
      </w:r>
      <w:r>
        <w:rPr>
          <w:b w:val="0"/>
          <w:i w:val="0"/>
          <w:sz w:val="19"/>
        </w:rPr>
        <w:t>Today's news added a positive signal for DBS Group (not yet in the price), SGX Group (not yet in the price), OCBC Bank (not yet in the price), CapitaLand Integ. Comm. Trust (the price went the other way) and five more. See section 2.</w:t>
      </w:r>
    </w:p>
    <w:p>
      <w:pPr>
        <w:pStyle w:val="ListBullet"/>
        <w:spacing w:after="40"/>
      </w:pPr>
      <w:r>
        <w:rPr>
          <w:b/>
          <w:i w:val="0"/>
          <w:color w:val="1A2E55"/>
          <w:sz w:val="19"/>
        </w:rPr>
        <w:t xml:space="preserve">Next 3 days. </w:t>
      </w:r>
      <w:r>
        <w:rPr>
          <w:b w:val="0"/>
          <w:i w:val="0"/>
          <w:sz w:val="19"/>
        </w:rPr>
        <w:t>The forecast model leans towards a rise for five stocks and no big move for the rest (only DBS Group and CapitaLand Integ. Comm. Trust with a ✓ record); normal 3-day swings run from ±0.8% (Mapletree Industrial) to ±3.0% (Wilmar Intl), so a bigger move than a stock's own swing would be unusual. See section 3.</w:t>
      </w:r>
    </w:p>
    <w:p>
      <w:pPr>
        <w:pStyle w:val="ListBullet"/>
        <w:spacing w:after="40"/>
      </w:pPr>
      <w:r>
        <w:rPr>
          <w:b/>
          <w:i w:val="0"/>
          <w:color w:val="1A2E55"/>
          <w:sz w:val="19"/>
        </w:rPr>
        <w:t xml:space="preserve">For you. </w:t>
      </w:r>
      <w:r>
        <w:rPr>
          <w:b w:val="0"/>
          <w:i w:val="0"/>
          <w:sz w:val="19"/>
        </w:rPr>
        <w:t>No stock is flagged ⚑ today. The moves in Mapletree Pan Asia Comm. Trust came without company news, so sector or market news is the place to check before reacting. If you prefer less day-to-day movement, Ascendas REIT, Mapletree Pan Asia Comm. Trust, Singtel, Raffles Medical Group and ST Engineering have the highest chance of no big move.</w:t>
      </w:r>
    </w:p>
    <w:p>
      <w:pPr>
        <w:spacing w:after="40"/>
      </w:pPr>
      <w:r>
        <w:rPr>
          <w:b w:val="0"/>
          <w:i w:val="0"/>
          <w:color w:val="1A2E55"/>
          <w:sz w:val="16"/>
        </w:rPr>
        <w:t>Which parts can you rely on? Each kind of statement was tested on past data (results in section 5).</w:t>
      </w:r>
    </w:p>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35" w:type="dxa"/>
          <w:bottom w:w="35" w:type="dxa"/>
          <w:left w:w="80" w:type="dxa"/>
          <w:right w:w="80" w:type="dxa"/>
        </w:tblCellMar>
      </w:tblPr>
      <w:tblGrid>
        <w:gridCol w:w="1987"/>
        <w:gridCol w:w="1987"/>
        <w:gridCol w:w="1987"/>
        <w:gridCol w:w="1987"/>
        <w:gridCol w:w="1987"/>
      </w:tblGrid>
      <w:tr>
        <w:tc>
          <w:tcPr>
            <w:tcW w:type="dxa" w:w="1987"/>
            <w:shd w:val="clear" w:color="auto" w:fill="E4F3E4"/>
            <w:tcBorders>
              <w:left w:val="single" w:sz="6" w:color="FFFFFF"/>
              <w:right w:val="single" w:sz="6" w:color="FFFFFF"/>
            </w:tcBorders>
          </w:tcPr>
          <w:p>
            <w:r>
              <w:rPr>
                <w:b/>
                <w:i w:val="0"/>
                <w:color w:val="0A6E0A"/>
                <w:sz w:val="16"/>
              </w:rPr>
              <w:t xml:space="preserve">✓  </w:t>
            </w:r>
            <w:r>
              <w:rPr>
                <w:b w:val="0"/>
                <w:i w:val="0"/>
                <w:color w:val="0A6E0A"/>
                <w:sz w:val="14"/>
              </w:rPr>
              <w:t>Prices and changes: fact (sections 1-2)</w:t>
            </w:r>
          </w:p>
        </w:tc>
        <w:tc>
          <w:tcPr>
            <w:tcW w:type="dxa" w:w="1987"/>
            <w:shd w:val="clear" w:color="auto" w:fill="EFEEEA"/>
            <w:tcBorders>
              <w:left w:val="single" w:sz="6" w:color="FFFFFF"/>
              <w:right w:val="single" w:sz="6" w:color="FFFFFF"/>
            </w:tcBorders>
          </w:tcPr>
          <w:p>
            <w:r>
              <w:rPr>
                <w:b/>
                <w:i w:val="0"/>
                <w:color w:val="52514E"/>
                <w:sz w:val="16"/>
              </w:rPr>
              <w:t xml:space="preserve">○  </w:t>
            </w:r>
            <w:r>
              <w:rPr>
                <w:b w:val="0"/>
                <w:i w:val="0"/>
                <w:color w:val="52514E"/>
                <w:sz w:val="14"/>
              </w:rPr>
              <w:t>News &amp; signals: describe today, not a forecast (sections 1-2)</w:t>
            </w:r>
          </w:p>
        </w:tc>
        <w:tc>
          <w:tcPr>
            <w:tcW w:type="dxa" w:w="1987"/>
            <w:shd w:val="clear" w:color="auto" w:fill="E4F3E4"/>
            <w:tcBorders>
              <w:left w:val="single" w:sz="6" w:color="FFFFFF"/>
              <w:right w:val="single" w:sz="6" w:color="FFFFFF"/>
            </w:tcBorders>
          </w:tcPr>
          <w:p>
            <w:r>
              <w:rPr>
                <w:b/>
                <w:i w:val="0"/>
                <w:color w:val="0A6E0A"/>
                <w:sz w:val="16"/>
              </w:rPr>
              <w:t xml:space="preserve">✓  </w:t>
            </w:r>
            <w:r>
              <w:rPr>
                <w:b w:val="0"/>
                <w:i w:val="0"/>
                <w:color w:val="0A6E0A"/>
                <w:sz w:val="14"/>
              </w:rPr>
              <w:t>Normal 3-day swing: reliable, held 74 times in 100 (section 3)</w:t>
            </w:r>
          </w:p>
        </w:tc>
        <w:tc>
          <w:tcPr>
            <w:tcW w:type="dxa" w:w="1987"/>
            <w:shd w:val="clear" w:color="auto" w:fill="FFF1D1"/>
            <w:tcBorders>
              <w:left w:val="single" w:sz="6" w:color="FFFFFF"/>
              <w:right w:val="single" w:sz="6" w:color="FFFFFF"/>
            </w:tcBorders>
          </w:tcPr>
          <w:p>
            <w:r>
              <w:rPr>
                <w:b/>
                <w:i w:val="0"/>
                <w:color w:val="8A5A00"/>
                <w:sz w:val="16"/>
              </w:rPr>
              <w:t xml:space="preserve">!  </w:t>
            </w:r>
            <w:r>
              <w:rPr>
                <w:b w:val="0"/>
                <w:i w:val="0"/>
                <w:color w:val="8A5A00"/>
                <w:sz w:val="14"/>
              </w:rPr>
              <w:t>Calmer than most: promising, still being confirmed (section 3)</w:t>
            </w:r>
          </w:p>
        </w:tc>
        <w:tc>
          <w:tcPr>
            <w:tcW w:type="dxa" w:w="1987"/>
            <w:shd w:val="clear" w:color="auto" w:fill="FBE1E0"/>
            <w:tcBorders>
              <w:left w:val="single" w:sz="6" w:color="FFFFFF"/>
              <w:right w:val="single" w:sz="6" w:color="FFFFFF"/>
            </w:tcBorders>
          </w:tcPr>
          <w:p>
            <w:r>
              <w:rPr>
                <w:b/>
                <w:i w:val="0"/>
                <w:color w:val="A12D2C"/>
                <w:sz w:val="16"/>
              </w:rPr>
              <w:t xml:space="preserve">✗  </w:t>
            </w:r>
            <w:r>
              <w:rPr>
                <w:b w:val="0"/>
                <w:i w:val="0"/>
                <w:color w:val="A12D2C"/>
                <w:sz w:val="14"/>
              </w:rPr>
              <w:t>Up-or-down lean: not reliable, even with ✓ (section 3)</w:t>
            </w:r>
          </w:p>
        </w:tc>
      </w:tr>
    </w:tbl>
    <w:p>
      <w:pPr>
        <w:spacing w:after="0" w:line="240" w:lineRule="auto"/>
      </w:pPr>
      <w:r>
        <w:rPr>
          <w:sz w:val="6"/>
        </w:rPr>
      </w:r>
    </w:p>
    <w:p>
      <w:pPr>
        <w:keepNext/>
        <w:pageBreakBefore w:val="0"/>
        <w:spacing w:before="160" w:after="40"/>
        <w:pBdr>
          <w:bottom w:val="single" w:sz="6" w:space="2" w:color="CDE2FB"/>
        </w:pBdr>
      </w:pPr>
      <w:r>
        <w:rPr>
          <w:b/>
          <w:i w:val="0"/>
          <w:color w:val="1A2E55"/>
          <w:sz w:val="26"/>
        </w:rPr>
        <w:t>All 15 stocks today</w:t>
      </w:r>
    </w:p>
    <w:p>
      <w:pPr>
        <w:spacing w:after="40"/>
      </w:pPr>
      <w:r>
        <w:rPr>
          <w:b w:val="0"/>
          <w:i w:val="0"/>
          <w:color w:val="52514E"/>
          <w:sz w:val="17"/>
        </w:rPr>
        <w:t>Ranked by today's news-and-signals reading, most positive first. Market-wide today: Singapore ETF options lean positive; this applies to all 15 and is not repeated below.</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22" w:type="dxa"/>
          <w:bottom w:w="22" w:type="dxa"/>
          <w:left w:w="60" w:type="dxa"/>
          <w:right w:w="60" w:type="dxa"/>
        </w:tblCellMar>
      </w:tblPr>
      <w:tblGrid>
        <w:gridCol w:w="360"/>
        <w:gridCol w:w="2189"/>
        <w:gridCol w:w="662"/>
        <w:gridCol w:w="792"/>
        <w:gridCol w:w="1037"/>
        <w:gridCol w:w="1382"/>
        <w:gridCol w:w="1872"/>
        <w:gridCol w:w="1642"/>
      </w:tblGrid>
      <w:tr>
        <w:tc>
          <w:tcPr>
            <w:tcW w:type="dxa" w:w="360"/>
            <w:shd w:val="clear" w:color="auto" w:fill="1A2E55"/>
          </w:tcPr>
          <w:p>
            <w:r>
              <w:rPr>
                <w:b/>
                <w:i w:val="0"/>
                <w:color w:val="FFFFFF"/>
                <w:sz w:val="14"/>
              </w:rPr>
              <w:t>#</w:t>
            </w:r>
          </w:p>
        </w:tc>
        <w:tc>
          <w:tcPr>
            <w:tcW w:type="dxa" w:w="2189"/>
            <w:shd w:val="clear" w:color="auto" w:fill="1A2E55"/>
          </w:tcPr>
          <w:p>
            <w:r>
              <w:rPr>
                <w:b/>
                <w:i w:val="0"/>
                <w:color w:val="FFFFFF"/>
                <w:sz w:val="14"/>
              </w:rPr>
              <w:t>Stock</w:t>
            </w:r>
          </w:p>
        </w:tc>
        <w:tc>
          <w:tcPr>
            <w:tcW w:type="dxa" w:w="662"/>
            <w:shd w:val="clear" w:color="auto" w:fill="1A2E55"/>
          </w:tcPr>
          <w:p>
            <w:pPr>
              <w:jc w:val="right"/>
            </w:pPr>
            <w:r>
              <w:rPr>
                <w:b/>
                <w:i w:val="0"/>
                <w:color w:val="FFFFFF"/>
                <w:sz w:val="14"/>
              </w:rPr>
              <w:t>Today</w:t>
            </w:r>
          </w:p>
        </w:tc>
        <w:tc>
          <w:tcPr>
            <w:tcW w:type="dxa" w:w="792"/>
            <w:shd w:val="clear" w:color="auto" w:fill="1A2E55"/>
          </w:tcPr>
          <w:p>
            <w:pPr>
              <w:jc w:val="right"/>
            </w:pPr>
            <w:r>
              <w:rPr>
                <w:b/>
                <w:i w:val="0"/>
                <w:color w:val="FFFFFF"/>
                <w:sz w:val="14"/>
              </w:rPr>
              <w:t>28 Aug–03 Sep</w:t>
            </w:r>
          </w:p>
        </w:tc>
        <w:tc>
          <w:tcPr>
            <w:tcW w:type="dxa" w:w="1037"/>
            <w:shd w:val="clear" w:color="auto" w:fill="1A2E55"/>
          </w:tcPr>
          <w:p>
            <w:r>
              <w:rPr>
                <w:b/>
                <w:i w:val="0"/>
                <w:color w:val="FFFFFF"/>
                <w:sz w:val="14"/>
              </w:rPr>
              <w:t>News &amp; signals</w:t>
            </w:r>
          </w:p>
        </w:tc>
        <w:tc>
          <w:tcPr>
            <w:tcW w:type="dxa" w:w="1382"/>
            <w:shd w:val="clear" w:color="auto" w:fill="1A2E55"/>
          </w:tcPr>
          <w:p>
            <w:r>
              <w:rPr>
                <w:b/>
                <w:i w:val="0"/>
                <w:color w:val="FFFFFF"/>
                <w:sz w:val="14"/>
              </w:rPr>
              <w:t>News today</w:t>
            </w:r>
          </w:p>
        </w:tc>
        <w:tc>
          <w:tcPr>
            <w:tcW w:type="dxa" w:w="1872"/>
            <w:shd w:val="clear" w:color="auto" w:fill="1A2E55"/>
          </w:tcPr>
          <w:p>
            <w:r>
              <w:rPr>
                <w:b/>
                <w:i w:val="0"/>
                <w:color w:val="FFFFFF"/>
                <w:sz w:val="14"/>
              </w:rPr>
              <w:t>Price chart</w:t>
            </w:r>
          </w:p>
        </w:tc>
        <w:tc>
          <w:tcPr>
            <w:tcW w:type="dxa" w:w="1642"/>
            <w:shd w:val="clear" w:color="auto" w:fill="1A2E55"/>
          </w:tcPr>
          <w:p>
            <w:r>
              <w:rPr>
                <w:b/>
                <w:i w:val="0"/>
                <w:color w:val="FFFFFF"/>
                <w:sz w:val="14"/>
              </w:rPr>
              <w:t>Price vs news</w:t>
            </w:r>
          </w:p>
        </w:tc>
      </w:tr>
      <w:tr>
        <w:tc>
          <w:tcPr>
            <w:tcW w:type="dxa" w:w="360"/>
          </w:tcPr>
          <w:p>
            <w:r>
              <w:rPr>
                <w:b w:val="0"/>
                <w:i w:val="0"/>
                <w:sz w:val="15"/>
              </w:rPr>
              <w:t>1</w:t>
            </w:r>
          </w:p>
        </w:tc>
        <w:tc>
          <w:tcPr>
            <w:tcW w:type="dxa" w:w="2189"/>
          </w:tcPr>
          <w:p>
            <w:r>
              <w:rPr>
                <w:b w:val="0"/>
                <w:i w:val="0"/>
                <w:sz w:val="15"/>
              </w:rPr>
              <w:t>DBS Group ★</w:t>
            </w:r>
          </w:p>
        </w:tc>
        <w:tc>
          <w:tcPr>
            <w:tcW w:type="dxa" w:w="662"/>
          </w:tcPr>
          <w:p>
            <w:pPr>
              <w:jc w:val="right"/>
            </w:pPr>
            <w:r>
              <w:rPr>
                <w:b w:val="0"/>
                <w:i w:val="0"/>
                <w:color w:val="1C5CAB"/>
                <w:sz w:val="15"/>
              </w:rPr>
              <w:t>+0.5%</w:t>
            </w:r>
          </w:p>
        </w:tc>
        <w:tc>
          <w:tcPr>
            <w:tcW w:type="dxa" w:w="792"/>
          </w:tcPr>
          <w:p>
            <w:pPr>
              <w:jc w:val="right"/>
            </w:pPr>
            <w:r>
              <w:rPr>
                <w:b w:val="0"/>
                <w:i w:val="0"/>
                <w:color w:val="1C5CAB"/>
                <w:sz w:val="15"/>
              </w:rPr>
              <w:t>+3.0%</w:t>
            </w:r>
          </w:p>
        </w:tc>
        <w:tc>
          <w:tcPr>
            <w:tcW w:type="dxa" w:w="1037"/>
            <w:shd w:val="clear" w:color="auto" w:fill="DCEAFB"/>
          </w:tcPr>
          <w:p>
            <w:r>
              <w:rPr>
                <w:b/>
                <w:i w:val="0"/>
                <w:color w:val="1C5CAB"/>
                <w:sz w:val="15"/>
              </w:rPr>
              <w:t>Positive</w:t>
            </w:r>
          </w:p>
        </w:tc>
        <w:tc>
          <w:tcPr>
            <w:tcW w:type="dxa" w:w="1382"/>
          </w:tcPr>
          <w:p>
            <w:r>
              <w:rPr>
                <w:b w:val="0"/>
                <w:i w:val="0"/>
                <w:sz w:val="15"/>
              </w:rPr>
              <w:t>Mostly positive (43)</w:t>
            </w:r>
          </w:p>
        </w:tc>
        <w:tc>
          <w:tcPr>
            <w:tcW w:type="dxa" w:w="1872"/>
          </w:tcPr>
          <w:p>
            <w:r>
              <w:rPr>
                <w:b w:val="0"/>
                <w:i w:val="0"/>
                <w:sz w:val="15"/>
              </w:rPr>
              <w:t>Above range · Weekly up · Above avg price</w:t>
            </w:r>
          </w:p>
        </w:tc>
        <w:tc>
          <w:tcPr>
            <w:tcW w:type="dxa" w:w="1642"/>
          </w:tcPr>
          <w:p>
            <w:r>
              <w:rPr>
                <w:b w:val="0"/>
                <w:i w:val="0"/>
                <w:sz w:val="15"/>
              </w:rPr>
              <w:t>Not yet in the price</w:t>
            </w:r>
          </w:p>
        </w:tc>
      </w:tr>
      <w:tr>
        <w:tc>
          <w:tcPr>
            <w:tcW w:type="dxa" w:w="360"/>
            <w:shd w:val="clear" w:color="auto" w:fill="F7F7F5"/>
          </w:tcPr>
          <w:p>
            <w:r>
              <w:rPr>
                <w:b w:val="0"/>
                <w:i w:val="0"/>
                <w:sz w:val="15"/>
              </w:rPr>
              <w:t>2</w:t>
            </w:r>
          </w:p>
        </w:tc>
        <w:tc>
          <w:tcPr>
            <w:tcW w:type="dxa" w:w="2189"/>
            <w:shd w:val="clear" w:color="auto" w:fill="F7F7F5"/>
          </w:tcPr>
          <w:p>
            <w:r>
              <w:rPr>
                <w:b w:val="0"/>
                <w:i w:val="0"/>
                <w:sz w:val="15"/>
              </w:rPr>
              <w:t>SGX Group ★</w:t>
            </w:r>
          </w:p>
        </w:tc>
        <w:tc>
          <w:tcPr>
            <w:tcW w:type="dxa" w:w="662"/>
            <w:shd w:val="clear" w:color="auto" w:fill="F7F7F5"/>
          </w:tcPr>
          <w:p>
            <w:pPr>
              <w:jc w:val="right"/>
            </w:pPr>
            <w:r>
              <w:rPr>
                <w:b w:val="0"/>
                <w:i w:val="0"/>
                <w:color w:val="52514E"/>
                <w:sz w:val="15"/>
              </w:rPr>
              <w:t>+0.2%</w:t>
            </w:r>
          </w:p>
        </w:tc>
        <w:tc>
          <w:tcPr>
            <w:tcW w:type="dxa" w:w="792"/>
            <w:shd w:val="clear" w:color="auto" w:fill="F7F7F5"/>
          </w:tcPr>
          <w:p>
            <w:pPr>
              <w:jc w:val="right"/>
            </w:pPr>
            <w:r>
              <w:rPr>
                <w:b w:val="0"/>
                <w:i w:val="0"/>
                <w:color w:val="A12D2C"/>
                <w:sz w:val="15"/>
              </w:rPr>
              <w:t>-1.1%</w:t>
            </w:r>
          </w:p>
        </w:tc>
        <w:tc>
          <w:tcPr>
            <w:tcW w:type="dxa" w:w="1037"/>
            <w:shd w:val="clear" w:color="auto" w:fill="DCEAFB"/>
          </w:tcPr>
          <w:p>
            <w:r>
              <w:rPr>
                <w:b/>
                <w:i w:val="0"/>
                <w:color w:val="1C5CAB"/>
                <w:sz w:val="15"/>
              </w:rPr>
              <w:t>Positive</w:t>
            </w:r>
          </w:p>
        </w:tc>
        <w:tc>
          <w:tcPr>
            <w:tcW w:type="dxa" w:w="1382"/>
            <w:shd w:val="clear" w:color="auto" w:fill="F7F7F5"/>
          </w:tcPr>
          <w:p>
            <w:r>
              <w:rPr>
                <w:b w:val="0"/>
                <w:i w:val="0"/>
                <w:sz w:val="15"/>
              </w:rPr>
              <w:t>Mostly positive (50)</w:t>
            </w:r>
          </w:p>
        </w:tc>
        <w:tc>
          <w:tcPr>
            <w:tcW w:type="dxa" w:w="1872"/>
            <w:shd w:val="clear" w:color="auto" w:fill="F7F7F5"/>
          </w:tcPr>
          <w:p>
            <w:r>
              <w:rPr>
                <w:b w:val="0"/>
                <w:i w:val="0"/>
                <w:sz w:val="15"/>
              </w:rPr>
              <w:t>Weekly up · Above avg price</w:t>
            </w:r>
          </w:p>
        </w:tc>
        <w:tc>
          <w:tcPr>
            <w:tcW w:type="dxa" w:w="1642"/>
            <w:shd w:val="clear" w:color="auto" w:fill="F7F7F5"/>
          </w:tcPr>
          <w:p>
            <w:r>
              <w:rPr>
                <w:b w:val="0"/>
                <w:i w:val="0"/>
                <w:sz w:val="15"/>
              </w:rPr>
              <w:t>Not yet in the price</w:t>
            </w:r>
          </w:p>
        </w:tc>
      </w:tr>
      <w:tr>
        <w:tc>
          <w:tcPr>
            <w:tcW w:type="dxa" w:w="360"/>
          </w:tcPr>
          <w:p>
            <w:r>
              <w:rPr>
                <w:b w:val="0"/>
                <w:i w:val="0"/>
                <w:sz w:val="15"/>
              </w:rPr>
              <w:t>3</w:t>
            </w:r>
          </w:p>
        </w:tc>
        <w:tc>
          <w:tcPr>
            <w:tcW w:type="dxa" w:w="2189"/>
          </w:tcPr>
          <w:p>
            <w:r>
              <w:rPr>
                <w:b w:val="0"/>
                <w:i w:val="0"/>
                <w:sz w:val="15"/>
              </w:rPr>
              <w:t>OCBC Bank ★</w:t>
            </w:r>
          </w:p>
        </w:tc>
        <w:tc>
          <w:tcPr>
            <w:tcW w:type="dxa" w:w="662"/>
          </w:tcPr>
          <w:p>
            <w:pPr>
              <w:jc w:val="right"/>
            </w:pPr>
            <w:r>
              <w:rPr>
                <w:b w:val="0"/>
                <w:i w:val="0"/>
                <w:color w:val="52514E"/>
                <w:sz w:val="15"/>
              </w:rPr>
              <w:t>+0.2%</w:t>
            </w:r>
          </w:p>
        </w:tc>
        <w:tc>
          <w:tcPr>
            <w:tcW w:type="dxa" w:w="792"/>
          </w:tcPr>
          <w:p>
            <w:pPr>
              <w:jc w:val="right"/>
            </w:pPr>
            <w:r>
              <w:rPr>
                <w:b w:val="0"/>
                <w:i w:val="0"/>
                <w:color w:val="1C5CAB"/>
                <w:sz w:val="15"/>
              </w:rPr>
              <w:t>+3.3%</w:t>
            </w:r>
          </w:p>
        </w:tc>
        <w:tc>
          <w:tcPr>
            <w:tcW w:type="dxa" w:w="1037"/>
            <w:shd w:val="clear" w:color="auto" w:fill="DCEAFB"/>
          </w:tcPr>
          <w:p>
            <w:r>
              <w:rPr>
                <w:b/>
                <w:i w:val="0"/>
                <w:color w:val="1C5CAB"/>
                <w:sz w:val="15"/>
              </w:rPr>
              <w:t>Positive</w:t>
            </w:r>
          </w:p>
        </w:tc>
        <w:tc>
          <w:tcPr>
            <w:tcW w:type="dxa" w:w="1382"/>
          </w:tcPr>
          <w:p>
            <w:r>
              <w:rPr>
                <w:b w:val="0"/>
                <w:i w:val="0"/>
                <w:sz w:val="15"/>
              </w:rPr>
              <w:t>Mostly positive (50)</w:t>
            </w:r>
          </w:p>
        </w:tc>
        <w:tc>
          <w:tcPr>
            <w:tcW w:type="dxa" w:w="1872"/>
          </w:tcPr>
          <w:p>
            <w:r>
              <w:rPr>
                <w:b w:val="0"/>
                <w:i w:val="0"/>
                <w:sz w:val="15"/>
              </w:rPr>
              <w:t>Weekly up · Above avg price</w:t>
            </w:r>
          </w:p>
        </w:tc>
        <w:tc>
          <w:tcPr>
            <w:tcW w:type="dxa" w:w="1642"/>
          </w:tcPr>
          <w:p>
            <w:r>
              <w:rPr>
                <w:b w:val="0"/>
                <w:i w:val="0"/>
                <w:sz w:val="15"/>
              </w:rPr>
              <w:t>Not yet in the price</w:t>
            </w:r>
          </w:p>
        </w:tc>
      </w:tr>
      <w:tr>
        <w:tc>
          <w:tcPr>
            <w:tcW w:type="dxa" w:w="360"/>
            <w:shd w:val="clear" w:color="auto" w:fill="F7F7F5"/>
          </w:tcPr>
          <w:p>
            <w:r>
              <w:rPr>
                <w:b w:val="0"/>
                <w:i w:val="0"/>
                <w:sz w:val="15"/>
              </w:rPr>
              <w:t>4</w:t>
            </w:r>
          </w:p>
        </w:tc>
        <w:tc>
          <w:tcPr>
            <w:tcW w:type="dxa" w:w="2189"/>
            <w:shd w:val="clear" w:color="auto" w:fill="F7F7F5"/>
          </w:tcPr>
          <w:p>
            <w:r>
              <w:rPr>
                <w:b w:val="0"/>
                <w:i w:val="0"/>
                <w:sz w:val="15"/>
              </w:rPr>
              <w:t>ST Engineering ★</w:t>
            </w:r>
          </w:p>
        </w:tc>
        <w:tc>
          <w:tcPr>
            <w:tcW w:type="dxa" w:w="662"/>
            <w:shd w:val="clear" w:color="auto" w:fill="F7F7F5"/>
          </w:tcPr>
          <w:p>
            <w:pPr>
              <w:jc w:val="right"/>
            </w:pPr>
            <w:r>
              <w:rPr>
                <w:b w:val="0"/>
                <w:i w:val="0"/>
                <w:color w:val="A12D2C"/>
                <w:sz w:val="15"/>
              </w:rPr>
              <w:t>-0.6%</w:t>
            </w:r>
          </w:p>
        </w:tc>
        <w:tc>
          <w:tcPr>
            <w:tcW w:type="dxa" w:w="792"/>
            <w:shd w:val="clear" w:color="auto" w:fill="F7F7F5"/>
          </w:tcPr>
          <w:p>
            <w:pPr>
              <w:jc w:val="right"/>
            </w:pPr>
            <w:r>
              <w:rPr>
                <w:b w:val="0"/>
                <w:i w:val="0"/>
                <w:color w:val="A12D2C"/>
                <w:sz w:val="15"/>
              </w:rPr>
              <w:t>-2.4%</w:t>
            </w:r>
          </w:p>
        </w:tc>
        <w:tc>
          <w:tcPr>
            <w:tcW w:type="dxa" w:w="1037"/>
            <w:shd w:val="clear" w:color="auto" w:fill="DCEAFB"/>
          </w:tcPr>
          <w:p>
            <w:r>
              <w:rPr>
                <w:b/>
                <w:i w:val="0"/>
                <w:color w:val="1C5CAB"/>
                <w:sz w:val="15"/>
              </w:rPr>
              <w:t>Positive</w:t>
            </w:r>
          </w:p>
        </w:tc>
        <w:tc>
          <w:tcPr>
            <w:tcW w:type="dxa" w:w="1382"/>
            <w:shd w:val="clear" w:color="auto" w:fill="F7F7F5"/>
          </w:tcPr>
          <w:p>
            <w:r>
              <w:rPr>
                <w:b w:val="0"/>
                <w:i w:val="0"/>
                <w:sz w:val="15"/>
              </w:rPr>
              <w:t>Mostly positive (39)</w:t>
            </w:r>
          </w:p>
        </w:tc>
        <w:tc>
          <w:tcPr>
            <w:tcW w:type="dxa" w:w="1872"/>
            <w:shd w:val="clear" w:color="auto" w:fill="F7F7F5"/>
          </w:tcPr>
          <w:p>
            <w:r>
              <w:rPr>
                <w:b w:val="0"/>
                <w:i w:val="0"/>
                <w:sz w:val="15"/>
              </w:rPr>
              <w:t>—</w:t>
            </w:r>
          </w:p>
        </w:tc>
        <w:tc>
          <w:tcPr>
            <w:tcW w:type="dxa" w:w="1642"/>
            <w:shd w:val="clear" w:color="auto" w:fill="F7F7F5"/>
          </w:tcPr>
          <w:p>
            <w:r>
              <w:rPr>
                <w:b w:val="0"/>
                <w:i w:val="0"/>
                <w:sz w:val="15"/>
              </w:rPr>
              <w:t>Not yet in the price</w:t>
            </w:r>
          </w:p>
        </w:tc>
      </w:tr>
      <w:tr>
        <w:tc>
          <w:tcPr>
            <w:tcW w:type="dxa" w:w="360"/>
          </w:tcPr>
          <w:p>
            <w:r>
              <w:rPr>
                <w:b w:val="0"/>
                <w:i w:val="0"/>
                <w:sz w:val="15"/>
              </w:rPr>
              <w:t>5</w:t>
            </w:r>
          </w:p>
        </w:tc>
        <w:tc>
          <w:tcPr>
            <w:tcW w:type="dxa" w:w="2189"/>
          </w:tcPr>
          <w:p>
            <w:r>
              <w:rPr>
                <w:b w:val="0"/>
                <w:i w:val="0"/>
                <w:sz w:val="15"/>
              </w:rPr>
              <w:t>CapitaLand Integ. Comm. Trust ★</w:t>
            </w:r>
          </w:p>
        </w:tc>
        <w:tc>
          <w:tcPr>
            <w:tcW w:type="dxa" w:w="662"/>
          </w:tcPr>
          <w:p>
            <w:pPr>
              <w:jc w:val="right"/>
            </w:pPr>
            <w:r>
              <w:rPr>
                <w:b w:val="0"/>
                <w:i w:val="0"/>
                <w:color w:val="A12D2C"/>
                <w:sz w:val="15"/>
              </w:rPr>
              <w:t>-0.9%</w:t>
            </w:r>
          </w:p>
        </w:tc>
        <w:tc>
          <w:tcPr>
            <w:tcW w:type="dxa" w:w="792"/>
          </w:tcPr>
          <w:p>
            <w:pPr>
              <w:jc w:val="right"/>
            </w:pPr>
            <w:r>
              <w:rPr>
                <w:b w:val="0"/>
                <w:i w:val="0"/>
                <w:color w:val="A12D2C"/>
                <w:sz w:val="15"/>
              </w:rPr>
              <w:t>-2.5%</w:t>
            </w:r>
          </w:p>
        </w:tc>
        <w:tc>
          <w:tcPr>
            <w:tcW w:type="dxa" w:w="1037"/>
            <w:shd w:val="clear" w:color="auto" w:fill="DCEAFB"/>
          </w:tcPr>
          <w:p>
            <w:r>
              <w:rPr>
                <w:b/>
                <w:i w:val="0"/>
                <w:color w:val="1C5CAB"/>
                <w:sz w:val="15"/>
              </w:rPr>
              <w:t>Positive</w:t>
            </w:r>
          </w:p>
        </w:tc>
        <w:tc>
          <w:tcPr>
            <w:tcW w:type="dxa" w:w="1382"/>
          </w:tcPr>
          <w:p>
            <w:r>
              <w:rPr>
                <w:b w:val="0"/>
                <w:i w:val="0"/>
                <w:sz w:val="15"/>
              </w:rPr>
              <w:t>Mostly positive (29)</w:t>
            </w:r>
          </w:p>
        </w:tc>
        <w:tc>
          <w:tcPr>
            <w:tcW w:type="dxa" w:w="1872"/>
          </w:tcPr>
          <w:p>
            <w:r>
              <w:rPr>
                <w:b w:val="0"/>
                <w:i w:val="0"/>
                <w:sz w:val="15"/>
              </w:rPr>
              <w:t>—</w:t>
            </w:r>
          </w:p>
        </w:tc>
        <w:tc>
          <w:tcPr>
            <w:tcW w:type="dxa" w:w="1642"/>
          </w:tcPr>
          <w:p>
            <w:r>
              <w:rPr>
                <w:b w:val="0"/>
                <w:i w:val="0"/>
                <w:sz w:val="15"/>
              </w:rPr>
              <w:t>Price went the other way</w:t>
            </w:r>
          </w:p>
        </w:tc>
      </w:tr>
      <w:tr>
        <w:tc>
          <w:tcPr>
            <w:tcW w:type="dxa" w:w="360"/>
            <w:shd w:val="clear" w:color="auto" w:fill="F7F7F5"/>
          </w:tcPr>
          <w:p>
            <w:r>
              <w:rPr>
                <w:b w:val="0"/>
                <w:i w:val="0"/>
                <w:sz w:val="15"/>
              </w:rPr>
              <w:t>6</w:t>
            </w:r>
          </w:p>
        </w:tc>
        <w:tc>
          <w:tcPr>
            <w:tcW w:type="dxa" w:w="2189"/>
            <w:shd w:val="clear" w:color="auto" w:fill="F7F7F5"/>
          </w:tcPr>
          <w:p>
            <w:r>
              <w:rPr>
                <w:b w:val="0"/>
                <w:i w:val="0"/>
                <w:sz w:val="15"/>
              </w:rPr>
              <w:t>UOB ★</w:t>
            </w:r>
          </w:p>
        </w:tc>
        <w:tc>
          <w:tcPr>
            <w:tcW w:type="dxa" w:w="662"/>
            <w:shd w:val="clear" w:color="auto" w:fill="F7F7F5"/>
          </w:tcPr>
          <w:p>
            <w:pPr>
              <w:jc w:val="right"/>
            </w:pPr>
            <w:r>
              <w:rPr>
                <w:b w:val="0"/>
                <w:i w:val="0"/>
                <w:color w:val="52514E"/>
                <w:sz w:val="15"/>
              </w:rPr>
              <w:t>-0.1%</w:t>
            </w:r>
          </w:p>
        </w:tc>
        <w:tc>
          <w:tcPr>
            <w:tcW w:type="dxa" w:w="792"/>
            <w:shd w:val="clear" w:color="auto" w:fill="F7F7F5"/>
          </w:tcPr>
          <w:p>
            <w:pPr>
              <w:jc w:val="right"/>
            </w:pPr>
            <w:r>
              <w:rPr>
                <w:b w:val="0"/>
                <w:i w:val="0"/>
                <w:color w:val="1C5CAB"/>
                <w:sz w:val="15"/>
              </w:rPr>
              <w:t>+2.7%</w:t>
            </w:r>
          </w:p>
        </w:tc>
        <w:tc>
          <w:tcPr>
            <w:tcW w:type="dxa" w:w="1037"/>
            <w:shd w:val="clear" w:color="auto" w:fill="DCEAFB"/>
          </w:tcPr>
          <w:p>
            <w:r>
              <w:rPr>
                <w:b/>
                <w:i w:val="0"/>
                <w:color w:val="1C5CAB"/>
                <w:sz w:val="15"/>
              </w:rPr>
              <w:t>Positive</w:t>
            </w:r>
          </w:p>
        </w:tc>
        <w:tc>
          <w:tcPr>
            <w:tcW w:type="dxa" w:w="1382"/>
            <w:shd w:val="clear" w:color="auto" w:fill="F7F7F5"/>
          </w:tcPr>
          <w:p>
            <w:r>
              <w:rPr>
                <w:b w:val="0"/>
                <w:i w:val="0"/>
                <w:sz w:val="15"/>
              </w:rPr>
              <w:t>Mixed (48)</w:t>
            </w:r>
          </w:p>
        </w:tc>
        <w:tc>
          <w:tcPr>
            <w:tcW w:type="dxa" w:w="1872"/>
            <w:shd w:val="clear" w:color="auto" w:fill="F7F7F5"/>
          </w:tcPr>
          <w:p>
            <w:r>
              <w:rPr>
                <w:b w:val="0"/>
                <w:i w:val="0"/>
                <w:sz w:val="15"/>
              </w:rPr>
              <w:t>Weekly up · Above avg price</w:t>
            </w:r>
          </w:p>
        </w:tc>
        <w:tc>
          <w:tcPr>
            <w:tcW w:type="dxa" w:w="1642"/>
            <w:shd w:val="clear" w:color="auto" w:fill="F7F7F5"/>
          </w:tcPr>
          <w:p>
            <w:r>
              <w:rPr>
                <w:b w:val="0"/>
                <w:i w:val="0"/>
                <w:sz w:val="15"/>
              </w:rPr>
              <w:t>Not yet in the price</w:t>
            </w:r>
          </w:p>
        </w:tc>
      </w:tr>
      <w:tr>
        <w:tc>
          <w:tcPr>
            <w:tcW w:type="dxa" w:w="360"/>
          </w:tcPr>
          <w:p>
            <w:r>
              <w:rPr>
                <w:b w:val="0"/>
                <w:i w:val="0"/>
                <w:sz w:val="15"/>
              </w:rPr>
              <w:t>7</w:t>
            </w:r>
          </w:p>
        </w:tc>
        <w:tc>
          <w:tcPr>
            <w:tcW w:type="dxa" w:w="2189"/>
          </w:tcPr>
          <w:p>
            <w:r>
              <w:rPr>
                <w:b w:val="0"/>
                <w:i w:val="0"/>
                <w:sz w:val="15"/>
              </w:rPr>
              <w:t>Wilmar Intl ★</w:t>
            </w:r>
          </w:p>
        </w:tc>
        <w:tc>
          <w:tcPr>
            <w:tcW w:type="dxa" w:w="662"/>
          </w:tcPr>
          <w:p>
            <w:pPr>
              <w:jc w:val="right"/>
            </w:pPr>
            <w:r>
              <w:rPr>
                <w:b w:val="0"/>
                <w:i w:val="0"/>
                <w:color w:val="52514E"/>
                <w:sz w:val="15"/>
              </w:rPr>
              <w:t>+0.0%</w:t>
            </w:r>
          </w:p>
        </w:tc>
        <w:tc>
          <w:tcPr>
            <w:tcW w:type="dxa" w:w="792"/>
          </w:tcPr>
          <w:p>
            <w:pPr>
              <w:jc w:val="right"/>
            </w:pPr>
            <w:r>
              <w:rPr>
                <w:b w:val="0"/>
                <w:i w:val="0"/>
                <w:color w:val="1C5CAB"/>
                <w:sz w:val="15"/>
              </w:rPr>
              <w:t>+1.9%</w:t>
            </w:r>
          </w:p>
        </w:tc>
        <w:tc>
          <w:tcPr>
            <w:tcW w:type="dxa" w:w="1037"/>
            <w:shd w:val="clear" w:color="auto" w:fill="DCEAFB"/>
          </w:tcPr>
          <w:p>
            <w:r>
              <w:rPr>
                <w:b/>
                <w:i w:val="0"/>
                <w:color w:val="1C5CAB"/>
                <w:sz w:val="15"/>
              </w:rPr>
              <w:t>Positive</w:t>
            </w:r>
          </w:p>
        </w:tc>
        <w:tc>
          <w:tcPr>
            <w:tcW w:type="dxa" w:w="1382"/>
          </w:tcPr>
          <w:p>
            <w:r>
              <w:rPr>
                <w:b w:val="0"/>
                <w:i w:val="0"/>
                <w:sz w:val="15"/>
              </w:rPr>
              <w:t>Mixed (22)</w:t>
            </w:r>
          </w:p>
        </w:tc>
        <w:tc>
          <w:tcPr>
            <w:tcW w:type="dxa" w:w="1872"/>
          </w:tcPr>
          <w:p>
            <w:r>
              <w:rPr>
                <w:b w:val="0"/>
                <w:i w:val="0"/>
                <w:sz w:val="15"/>
              </w:rPr>
              <w:t>Weekly up · Above avg price</w:t>
            </w:r>
          </w:p>
        </w:tc>
        <w:tc>
          <w:tcPr>
            <w:tcW w:type="dxa" w:w="1642"/>
          </w:tcPr>
          <w:p>
            <w:r>
              <w:rPr>
                <w:b w:val="0"/>
                <w:i w:val="0"/>
                <w:sz w:val="15"/>
              </w:rPr>
              <w:t>Not yet in the price</w:t>
            </w:r>
          </w:p>
        </w:tc>
      </w:tr>
      <w:tr>
        <w:tc>
          <w:tcPr>
            <w:tcW w:type="dxa" w:w="360"/>
            <w:shd w:val="clear" w:color="auto" w:fill="F7F7F5"/>
          </w:tcPr>
          <w:p>
            <w:r>
              <w:rPr>
                <w:b w:val="0"/>
                <w:i w:val="0"/>
                <w:sz w:val="15"/>
              </w:rPr>
              <w:t>8</w:t>
            </w:r>
          </w:p>
        </w:tc>
        <w:tc>
          <w:tcPr>
            <w:tcW w:type="dxa" w:w="2189"/>
            <w:shd w:val="clear" w:color="auto" w:fill="F7F7F5"/>
          </w:tcPr>
          <w:p>
            <w:r>
              <w:rPr>
                <w:b w:val="0"/>
                <w:i w:val="0"/>
                <w:sz w:val="15"/>
              </w:rPr>
              <w:t>Sembcorp Industries ★</w:t>
            </w:r>
          </w:p>
        </w:tc>
        <w:tc>
          <w:tcPr>
            <w:tcW w:type="dxa" w:w="662"/>
            <w:shd w:val="clear" w:color="auto" w:fill="F7F7F5"/>
          </w:tcPr>
          <w:p>
            <w:pPr>
              <w:jc w:val="right"/>
            </w:pPr>
            <w:r>
              <w:rPr>
                <w:b w:val="0"/>
                <w:i w:val="0"/>
                <w:color w:val="1C5CAB"/>
                <w:sz w:val="15"/>
              </w:rPr>
              <w:t>+1.5%</w:t>
            </w:r>
          </w:p>
        </w:tc>
        <w:tc>
          <w:tcPr>
            <w:tcW w:type="dxa" w:w="792"/>
            <w:shd w:val="clear" w:color="auto" w:fill="F7F7F5"/>
          </w:tcPr>
          <w:p>
            <w:pPr>
              <w:jc w:val="right"/>
            </w:pPr>
            <w:r>
              <w:rPr>
                <w:b w:val="0"/>
                <w:i w:val="0"/>
                <w:color w:val="1C5CAB"/>
                <w:sz w:val="15"/>
              </w:rPr>
              <w:t>+1.5%</w:t>
            </w:r>
          </w:p>
        </w:tc>
        <w:tc>
          <w:tcPr>
            <w:tcW w:type="dxa" w:w="1037"/>
            <w:shd w:val="clear" w:color="auto" w:fill="DCEAFB"/>
          </w:tcPr>
          <w:p>
            <w:r>
              <w:rPr>
                <w:b/>
                <w:i w:val="0"/>
                <w:color w:val="1C5CAB"/>
                <w:sz w:val="15"/>
              </w:rPr>
              <w:t>Positive</w:t>
            </w:r>
          </w:p>
        </w:tc>
        <w:tc>
          <w:tcPr>
            <w:tcW w:type="dxa" w:w="1382"/>
            <w:shd w:val="clear" w:color="auto" w:fill="F7F7F5"/>
          </w:tcPr>
          <w:p>
            <w:r>
              <w:rPr>
                <w:b w:val="0"/>
                <w:i w:val="0"/>
                <w:sz w:val="15"/>
              </w:rPr>
              <w:t>Mixed (24)</w:t>
            </w:r>
          </w:p>
        </w:tc>
        <w:tc>
          <w:tcPr>
            <w:tcW w:type="dxa" w:w="1872"/>
            <w:shd w:val="clear" w:color="auto" w:fill="F7F7F5"/>
          </w:tcPr>
          <w:p>
            <w:r>
              <w:rPr>
                <w:b w:val="0"/>
                <w:i w:val="0"/>
                <w:sz w:val="15"/>
              </w:rPr>
              <w:t>Above avg price</w:t>
            </w:r>
          </w:p>
        </w:tc>
        <w:tc>
          <w:tcPr>
            <w:tcW w:type="dxa" w:w="1642"/>
            <w:shd w:val="clear" w:color="auto" w:fill="F7F7F5"/>
          </w:tcPr>
          <w:p>
            <w:r>
              <w:rPr>
                <w:b w:val="0"/>
                <w:i w:val="0"/>
                <w:sz w:val="15"/>
              </w:rPr>
              <w:t>Price agreed</w:t>
            </w:r>
          </w:p>
        </w:tc>
      </w:tr>
      <w:tr>
        <w:tc>
          <w:tcPr>
            <w:tcW w:type="dxa" w:w="360"/>
          </w:tcPr>
          <w:p>
            <w:r>
              <w:rPr>
                <w:b w:val="0"/>
                <w:i w:val="0"/>
                <w:sz w:val="15"/>
              </w:rPr>
              <w:t>9</w:t>
            </w:r>
          </w:p>
        </w:tc>
        <w:tc>
          <w:tcPr>
            <w:tcW w:type="dxa" w:w="2189"/>
          </w:tcPr>
          <w:p>
            <w:r>
              <w:rPr>
                <w:b w:val="0"/>
                <w:i w:val="0"/>
                <w:sz w:val="15"/>
              </w:rPr>
              <w:t>Keppel Corp ★</w:t>
            </w:r>
          </w:p>
        </w:tc>
        <w:tc>
          <w:tcPr>
            <w:tcW w:type="dxa" w:w="662"/>
          </w:tcPr>
          <w:p>
            <w:pPr>
              <w:jc w:val="right"/>
            </w:pPr>
            <w:r>
              <w:rPr>
                <w:b w:val="0"/>
                <w:i w:val="0"/>
                <w:color w:val="A12D2C"/>
                <w:sz w:val="15"/>
              </w:rPr>
              <w:t>-0.4%</w:t>
            </w:r>
          </w:p>
        </w:tc>
        <w:tc>
          <w:tcPr>
            <w:tcW w:type="dxa" w:w="792"/>
          </w:tcPr>
          <w:p>
            <w:pPr>
              <w:jc w:val="right"/>
            </w:pPr>
            <w:r>
              <w:rPr>
                <w:b w:val="0"/>
                <w:i w:val="0"/>
                <w:color w:val="52514E"/>
                <w:sz w:val="15"/>
              </w:rPr>
              <w:t>+0.1%</w:t>
            </w:r>
          </w:p>
        </w:tc>
        <w:tc>
          <w:tcPr>
            <w:tcW w:type="dxa" w:w="1037"/>
            <w:shd w:val="clear" w:color="auto" w:fill="DCEAFB"/>
          </w:tcPr>
          <w:p>
            <w:r>
              <w:rPr>
                <w:b/>
                <w:i w:val="0"/>
                <w:color w:val="1C5CAB"/>
                <w:sz w:val="15"/>
              </w:rPr>
              <w:t>Positive</w:t>
            </w:r>
          </w:p>
        </w:tc>
        <w:tc>
          <w:tcPr>
            <w:tcW w:type="dxa" w:w="1382"/>
          </w:tcPr>
          <w:p>
            <w:r>
              <w:rPr>
                <w:b w:val="0"/>
                <w:i w:val="0"/>
                <w:sz w:val="15"/>
              </w:rPr>
              <w:t>Mixed (23)</w:t>
            </w:r>
          </w:p>
        </w:tc>
        <w:tc>
          <w:tcPr>
            <w:tcW w:type="dxa" w:w="1872"/>
          </w:tcPr>
          <w:p>
            <w:r>
              <w:rPr>
                <w:b w:val="0"/>
                <w:i w:val="0"/>
                <w:sz w:val="15"/>
              </w:rPr>
              <w:t>Above avg price</w:t>
            </w:r>
          </w:p>
        </w:tc>
        <w:tc>
          <w:tcPr>
            <w:tcW w:type="dxa" w:w="1642"/>
          </w:tcPr>
          <w:p>
            <w:r>
              <w:rPr>
                <w:b w:val="0"/>
                <w:i w:val="0"/>
                <w:sz w:val="15"/>
              </w:rPr>
              <w:t>Not yet in the price</w:t>
            </w:r>
          </w:p>
        </w:tc>
      </w:tr>
      <w:tr>
        <w:tc>
          <w:tcPr>
            <w:tcW w:type="dxa" w:w="360"/>
            <w:shd w:val="clear" w:color="auto" w:fill="F7F7F5"/>
          </w:tcPr>
          <w:p>
            <w:r>
              <w:rPr>
                <w:b w:val="0"/>
                <w:i w:val="0"/>
                <w:sz w:val="15"/>
              </w:rPr>
              <w:t>10</w:t>
            </w:r>
          </w:p>
        </w:tc>
        <w:tc>
          <w:tcPr>
            <w:tcW w:type="dxa" w:w="2189"/>
            <w:shd w:val="clear" w:color="auto" w:fill="F7F7F5"/>
          </w:tcPr>
          <w:p>
            <w:r>
              <w:rPr>
                <w:b w:val="0"/>
                <w:i w:val="0"/>
                <w:sz w:val="15"/>
              </w:rPr>
              <w:t>ComfortDelGro ★</w:t>
            </w:r>
          </w:p>
        </w:tc>
        <w:tc>
          <w:tcPr>
            <w:tcW w:type="dxa" w:w="662"/>
            <w:shd w:val="clear" w:color="auto" w:fill="F7F7F5"/>
          </w:tcPr>
          <w:p>
            <w:pPr>
              <w:jc w:val="right"/>
            </w:pPr>
            <w:r>
              <w:rPr>
                <w:b w:val="0"/>
                <w:i w:val="0"/>
                <w:color w:val="1C5CAB"/>
                <w:sz w:val="15"/>
              </w:rPr>
              <w:t>+0.8%</w:t>
            </w:r>
          </w:p>
        </w:tc>
        <w:tc>
          <w:tcPr>
            <w:tcW w:type="dxa" w:w="792"/>
            <w:shd w:val="clear" w:color="auto" w:fill="F7F7F5"/>
          </w:tcPr>
          <w:p>
            <w:pPr>
              <w:jc w:val="right"/>
            </w:pPr>
            <w:r>
              <w:rPr>
                <w:b w:val="0"/>
                <w:i w:val="0"/>
                <w:color w:val="52514E"/>
                <w:sz w:val="15"/>
              </w:rPr>
              <w:t>+0.0%</w:t>
            </w:r>
          </w:p>
        </w:tc>
        <w:tc>
          <w:tcPr>
            <w:tcW w:type="dxa" w:w="1037"/>
            <w:shd w:val="clear" w:color="auto" w:fill="EFEEEA"/>
          </w:tcPr>
          <w:p>
            <w:r>
              <w:rPr>
                <w:b/>
                <w:i w:val="0"/>
                <w:color w:val="52514E"/>
                <w:sz w:val="15"/>
              </w:rPr>
              <w:t>Neutral</w:t>
            </w:r>
          </w:p>
        </w:tc>
        <w:tc>
          <w:tcPr>
            <w:tcW w:type="dxa" w:w="1382"/>
            <w:shd w:val="clear" w:color="auto" w:fill="F7F7F5"/>
          </w:tcPr>
          <w:p>
            <w:r>
              <w:rPr>
                <w:b w:val="0"/>
                <w:i w:val="0"/>
                <w:sz w:val="15"/>
              </w:rPr>
              <w:t>Mixed (34)</w:t>
            </w:r>
          </w:p>
        </w:tc>
        <w:tc>
          <w:tcPr>
            <w:tcW w:type="dxa" w:w="1872"/>
            <w:shd w:val="clear" w:color="auto" w:fill="F7F7F5"/>
          </w:tcPr>
          <w:p>
            <w:r>
              <w:rPr>
                <w:b w:val="0"/>
                <w:i w:val="0"/>
                <w:sz w:val="15"/>
              </w:rPr>
              <w:t>—</w:t>
            </w:r>
          </w:p>
        </w:tc>
        <w:tc>
          <w:tcPr>
            <w:tcW w:type="dxa" w:w="1642"/>
            <w:shd w:val="clear" w:color="auto" w:fill="F7F7F5"/>
          </w:tcPr>
          <w:p>
            <w:r>
              <w:rPr>
                <w:b w:val="0"/>
                <w:i w:val="0"/>
                <w:sz w:val="15"/>
              </w:rPr>
              <w:t>Moved without a signal</w:t>
            </w:r>
          </w:p>
        </w:tc>
      </w:tr>
      <w:tr>
        <w:tc>
          <w:tcPr>
            <w:tcW w:type="dxa" w:w="360"/>
          </w:tcPr>
          <w:p>
            <w:r>
              <w:rPr>
                <w:b w:val="0"/>
                <w:i w:val="0"/>
                <w:sz w:val="15"/>
              </w:rPr>
              <w:t>11</w:t>
            </w:r>
          </w:p>
        </w:tc>
        <w:tc>
          <w:tcPr>
            <w:tcW w:type="dxa" w:w="2189"/>
          </w:tcPr>
          <w:p>
            <w:r>
              <w:rPr>
                <w:b w:val="0"/>
                <w:i w:val="0"/>
                <w:sz w:val="15"/>
              </w:rPr>
              <w:t>Ascendas REIT ★</w:t>
            </w:r>
          </w:p>
        </w:tc>
        <w:tc>
          <w:tcPr>
            <w:tcW w:type="dxa" w:w="662"/>
          </w:tcPr>
          <w:p>
            <w:pPr>
              <w:jc w:val="right"/>
            </w:pPr>
            <w:r>
              <w:rPr>
                <w:b w:val="0"/>
                <w:i w:val="0"/>
                <w:color w:val="A12D2C"/>
                <w:sz w:val="15"/>
              </w:rPr>
              <w:t>-0.4%</w:t>
            </w:r>
          </w:p>
        </w:tc>
        <w:tc>
          <w:tcPr>
            <w:tcW w:type="dxa" w:w="792"/>
          </w:tcPr>
          <w:p>
            <w:pPr>
              <w:jc w:val="right"/>
            </w:pPr>
            <w:r>
              <w:rPr>
                <w:b w:val="0"/>
                <w:i w:val="0"/>
                <w:color w:val="A12D2C"/>
                <w:sz w:val="15"/>
              </w:rPr>
              <w:t>-2.9%</w:t>
            </w:r>
          </w:p>
        </w:tc>
        <w:tc>
          <w:tcPr>
            <w:tcW w:type="dxa" w:w="1037"/>
            <w:shd w:val="clear" w:color="auto" w:fill="EFEEEA"/>
          </w:tcPr>
          <w:p>
            <w:r>
              <w:rPr>
                <w:b/>
                <w:i w:val="0"/>
                <w:color w:val="52514E"/>
                <w:sz w:val="15"/>
              </w:rPr>
              <w:t>Neutral</w:t>
            </w:r>
          </w:p>
        </w:tc>
        <w:tc>
          <w:tcPr>
            <w:tcW w:type="dxa" w:w="1382"/>
          </w:tcPr>
          <w:p>
            <w:r>
              <w:rPr>
                <w:b w:val="0"/>
                <w:i w:val="0"/>
                <w:sz w:val="15"/>
              </w:rPr>
              <w:t>Mostly positive (20)</w:t>
            </w:r>
          </w:p>
        </w:tc>
        <w:tc>
          <w:tcPr>
            <w:tcW w:type="dxa" w:w="1872"/>
          </w:tcPr>
          <w:p>
            <w:r>
              <w:rPr>
                <w:b w:val="0"/>
                <w:i w:val="0"/>
                <w:sz w:val="15"/>
              </w:rPr>
              <w:t>Weekly down · Below range</w:t>
            </w:r>
          </w:p>
        </w:tc>
        <w:tc>
          <w:tcPr>
            <w:tcW w:type="dxa" w:w="1642"/>
          </w:tcPr>
          <w:p>
            <w:r>
              <w:rPr>
                <w:b w:val="0"/>
                <w:i w:val="0"/>
                <w:sz w:val="15"/>
              </w:rPr>
              <w:t>No signal, little move</w:t>
            </w:r>
          </w:p>
        </w:tc>
      </w:tr>
      <w:tr>
        <w:tc>
          <w:tcPr>
            <w:tcW w:type="dxa" w:w="360"/>
            <w:shd w:val="clear" w:color="auto" w:fill="F7F7F5"/>
          </w:tcPr>
          <w:p>
            <w:r>
              <w:rPr>
                <w:b w:val="0"/>
                <w:i w:val="0"/>
                <w:sz w:val="15"/>
              </w:rPr>
              <w:t>12</w:t>
            </w:r>
          </w:p>
        </w:tc>
        <w:tc>
          <w:tcPr>
            <w:tcW w:type="dxa" w:w="2189"/>
            <w:shd w:val="clear" w:color="auto" w:fill="F7F7F5"/>
          </w:tcPr>
          <w:p>
            <w:r>
              <w:rPr>
                <w:b w:val="0"/>
                <w:i w:val="0"/>
                <w:sz w:val="15"/>
              </w:rPr>
              <w:t>Mapletree Industrial ★</w:t>
            </w:r>
          </w:p>
        </w:tc>
        <w:tc>
          <w:tcPr>
            <w:tcW w:type="dxa" w:w="662"/>
            <w:shd w:val="clear" w:color="auto" w:fill="F7F7F5"/>
          </w:tcPr>
          <w:p>
            <w:pPr>
              <w:jc w:val="right"/>
            </w:pPr>
            <w:r>
              <w:rPr>
                <w:b w:val="0"/>
                <w:i w:val="0"/>
                <w:color w:val="A12D2C"/>
                <w:sz w:val="15"/>
              </w:rPr>
              <w:t>-1.0%</w:t>
            </w:r>
          </w:p>
        </w:tc>
        <w:tc>
          <w:tcPr>
            <w:tcW w:type="dxa" w:w="792"/>
            <w:shd w:val="clear" w:color="auto" w:fill="F7F7F5"/>
          </w:tcPr>
          <w:p>
            <w:pPr>
              <w:jc w:val="right"/>
            </w:pPr>
            <w:r>
              <w:rPr>
                <w:b w:val="0"/>
                <w:i w:val="0"/>
                <w:color w:val="52514E"/>
                <w:sz w:val="15"/>
              </w:rPr>
              <w:t>+0.0%</w:t>
            </w:r>
          </w:p>
        </w:tc>
        <w:tc>
          <w:tcPr>
            <w:tcW w:type="dxa" w:w="1037"/>
            <w:shd w:val="clear" w:color="auto" w:fill="EFEEEA"/>
          </w:tcPr>
          <w:p>
            <w:r>
              <w:rPr>
                <w:b/>
                <w:i w:val="0"/>
                <w:color w:val="52514E"/>
                <w:sz w:val="15"/>
              </w:rPr>
              <w:t>Neutral</w:t>
            </w:r>
          </w:p>
        </w:tc>
        <w:tc>
          <w:tcPr>
            <w:tcW w:type="dxa" w:w="1382"/>
            <w:shd w:val="clear" w:color="auto" w:fill="F7F7F5"/>
          </w:tcPr>
          <w:p>
            <w:r>
              <w:rPr>
                <w:b w:val="0"/>
                <w:i w:val="0"/>
                <w:sz w:val="15"/>
              </w:rPr>
              <w:t>Mixed (17)</w:t>
            </w:r>
          </w:p>
        </w:tc>
        <w:tc>
          <w:tcPr>
            <w:tcW w:type="dxa" w:w="1872"/>
            <w:shd w:val="clear" w:color="auto" w:fill="F7F7F5"/>
          </w:tcPr>
          <w:p>
            <w:r>
              <w:rPr>
                <w:b w:val="0"/>
                <w:i w:val="0"/>
                <w:sz w:val="15"/>
              </w:rPr>
              <w:t>Above avg price</w:t>
            </w:r>
          </w:p>
        </w:tc>
        <w:tc>
          <w:tcPr>
            <w:tcW w:type="dxa" w:w="1642"/>
            <w:shd w:val="clear" w:color="auto" w:fill="F7F7F5"/>
          </w:tcPr>
          <w:p>
            <w:r>
              <w:rPr>
                <w:b w:val="0"/>
                <w:i w:val="0"/>
                <w:sz w:val="15"/>
              </w:rPr>
              <w:t>Moved without a signal</w:t>
            </w:r>
          </w:p>
        </w:tc>
      </w:tr>
      <w:tr>
        <w:tc>
          <w:tcPr>
            <w:tcW w:type="dxa" w:w="360"/>
          </w:tcPr>
          <w:p>
            <w:r>
              <w:rPr>
                <w:b w:val="0"/>
                <w:i w:val="0"/>
                <w:sz w:val="15"/>
              </w:rPr>
              <w:t>13</w:t>
            </w:r>
          </w:p>
        </w:tc>
        <w:tc>
          <w:tcPr>
            <w:tcW w:type="dxa" w:w="2189"/>
          </w:tcPr>
          <w:p>
            <w:r>
              <w:rPr>
                <w:b w:val="0"/>
                <w:i w:val="0"/>
                <w:sz w:val="15"/>
              </w:rPr>
              <w:t>Singtel ★</w:t>
            </w:r>
          </w:p>
        </w:tc>
        <w:tc>
          <w:tcPr>
            <w:tcW w:type="dxa" w:w="662"/>
          </w:tcPr>
          <w:p>
            <w:pPr>
              <w:jc w:val="right"/>
            </w:pPr>
            <w:r>
              <w:rPr>
                <w:b w:val="0"/>
                <w:i w:val="0"/>
                <w:color w:val="A12D2C"/>
                <w:sz w:val="15"/>
              </w:rPr>
              <w:t>-0.4%</w:t>
            </w:r>
          </w:p>
        </w:tc>
        <w:tc>
          <w:tcPr>
            <w:tcW w:type="dxa" w:w="792"/>
          </w:tcPr>
          <w:p>
            <w:pPr>
              <w:jc w:val="right"/>
            </w:pPr>
            <w:r>
              <w:rPr>
                <w:b w:val="0"/>
                <w:i w:val="0"/>
                <w:color w:val="A12D2C"/>
                <w:sz w:val="15"/>
              </w:rPr>
              <w:t>-1.6%</w:t>
            </w:r>
          </w:p>
        </w:tc>
        <w:tc>
          <w:tcPr>
            <w:tcW w:type="dxa" w:w="1037"/>
            <w:shd w:val="clear" w:color="auto" w:fill="EFEEEA"/>
          </w:tcPr>
          <w:p>
            <w:r>
              <w:rPr>
                <w:b/>
                <w:i w:val="0"/>
                <w:color w:val="52514E"/>
                <w:sz w:val="15"/>
              </w:rPr>
              <w:t>Neutral</w:t>
            </w:r>
          </w:p>
        </w:tc>
        <w:tc>
          <w:tcPr>
            <w:tcW w:type="dxa" w:w="1382"/>
          </w:tcPr>
          <w:p>
            <w:r>
              <w:rPr>
                <w:b w:val="0"/>
                <w:i w:val="0"/>
                <w:sz w:val="15"/>
              </w:rPr>
              <w:t>Mixed (42)</w:t>
            </w:r>
          </w:p>
        </w:tc>
        <w:tc>
          <w:tcPr>
            <w:tcW w:type="dxa" w:w="1872"/>
          </w:tcPr>
          <w:p>
            <w:r>
              <w:rPr>
                <w:b w:val="0"/>
                <w:i w:val="0"/>
                <w:sz w:val="15"/>
              </w:rPr>
              <w:t>Trend turned down · Above avg price</w:t>
            </w:r>
          </w:p>
        </w:tc>
        <w:tc>
          <w:tcPr>
            <w:tcW w:type="dxa" w:w="1642"/>
          </w:tcPr>
          <w:p>
            <w:r>
              <w:rPr>
                <w:b w:val="0"/>
                <w:i w:val="0"/>
                <w:sz w:val="15"/>
              </w:rPr>
              <w:t>No signal, little move</w:t>
            </w:r>
          </w:p>
        </w:tc>
      </w:tr>
      <w:tr>
        <w:tc>
          <w:tcPr>
            <w:tcW w:type="dxa" w:w="360"/>
            <w:shd w:val="clear" w:color="auto" w:fill="F7F7F5"/>
          </w:tcPr>
          <w:p>
            <w:r>
              <w:rPr>
                <w:b w:val="0"/>
                <w:i w:val="0"/>
                <w:sz w:val="15"/>
              </w:rPr>
              <w:t>14</w:t>
            </w:r>
          </w:p>
        </w:tc>
        <w:tc>
          <w:tcPr>
            <w:tcW w:type="dxa" w:w="2189"/>
            <w:shd w:val="clear" w:color="auto" w:fill="F7F7F5"/>
          </w:tcPr>
          <w:p>
            <w:r>
              <w:rPr>
                <w:b w:val="0"/>
                <w:i w:val="0"/>
                <w:sz w:val="15"/>
              </w:rPr>
              <w:t>Raffles Medical Group ★</w:t>
            </w:r>
          </w:p>
        </w:tc>
        <w:tc>
          <w:tcPr>
            <w:tcW w:type="dxa" w:w="662"/>
            <w:shd w:val="clear" w:color="auto" w:fill="F7F7F5"/>
          </w:tcPr>
          <w:p>
            <w:pPr>
              <w:jc w:val="right"/>
            </w:pPr>
            <w:r>
              <w:rPr>
                <w:b w:val="0"/>
                <w:i w:val="0"/>
                <w:color w:val="1C5CAB"/>
                <w:sz w:val="15"/>
              </w:rPr>
              <w:t>+0.6%</w:t>
            </w:r>
          </w:p>
        </w:tc>
        <w:tc>
          <w:tcPr>
            <w:tcW w:type="dxa" w:w="792"/>
            <w:shd w:val="clear" w:color="auto" w:fill="F7F7F5"/>
          </w:tcPr>
          <w:p>
            <w:pPr>
              <w:jc w:val="right"/>
            </w:pPr>
            <w:r>
              <w:rPr>
                <w:b w:val="0"/>
                <w:i w:val="0"/>
                <w:color w:val="1C5CAB"/>
                <w:sz w:val="15"/>
              </w:rPr>
              <w:t>+0.6%</w:t>
            </w:r>
          </w:p>
        </w:tc>
        <w:tc>
          <w:tcPr>
            <w:tcW w:type="dxa" w:w="1037"/>
            <w:shd w:val="clear" w:color="auto" w:fill="EFEEEA"/>
          </w:tcPr>
          <w:p>
            <w:r>
              <w:rPr>
                <w:b/>
                <w:i w:val="0"/>
                <w:color w:val="52514E"/>
                <w:sz w:val="15"/>
              </w:rPr>
              <w:t>Neutral</w:t>
            </w:r>
          </w:p>
        </w:tc>
        <w:tc>
          <w:tcPr>
            <w:tcW w:type="dxa" w:w="1382"/>
            <w:shd w:val="clear" w:color="auto" w:fill="F7F7F5"/>
          </w:tcPr>
          <w:p>
            <w:r>
              <w:rPr>
                <w:b w:val="0"/>
                <w:i w:val="0"/>
                <w:sz w:val="15"/>
              </w:rPr>
              <w:t>Mixed (15)</w:t>
            </w:r>
          </w:p>
        </w:tc>
        <w:tc>
          <w:tcPr>
            <w:tcW w:type="dxa" w:w="1872"/>
            <w:shd w:val="clear" w:color="auto" w:fill="F7F7F5"/>
          </w:tcPr>
          <w:p>
            <w:r>
              <w:rPr>
                <w:b w:val="0"/>
                <w:i w:val="0"/>
                <w:sz w:val="15"/>
              </w:rPr>
              <w:t>Weekly down</w:t>
            </w:r>
          </w:p>
        </w:tc>
        <w:tc>
          <w:tcPr>
            <w:tcW w:type="dxa" w:w="1642"/>
            <w:shd w:val="clear" w:color="auto" w:fill="F7F7F5"/>
          </w:tcPr>
          <w:p>
            <w:r>
              <w:rPr>
                <w:b w:val="0"/>
                <w:i w:val="0"/>
                <w:sz w:val="15"/>
              </w:rPr>
              <w:t>No signal, little move</w:t>
            </w:r>
          </w:p>
        </w:tc>
      </w:tr>
      <w:tr>
        <w:tc>
          <w:tcPr>
            <w:tcW w:type="dxa" w:w="360"/>
          </w:tcPr>
          <w:p>
            <w:r>
              <w:rPr>
                <w:b w:val="0"/>
                <w:i w:val="0"/>
                <w:sz w:val="15"/>
              </w:rPr>
              <w:t>15</w:t>
            </w:r>
          </w:p>
        </w:tc>
        <w:tc>
          <w:tcPr>
            <w:tcW w:type="dxa" w:w="2189"/>
          </w:tcPr>
          <w:p>
            <w:r>
              <w:rPr>
                <w:b w:val="0"/>
                <w:i w:val="0"/>
                <w:sz w:val="15"/>
              </w:rPr>
              <w:t>Mapletree Pan Asia Comm. Trust ★</w:t>
            </w:r>
          </w:p>
        </w:tc>
        <w:tc>
          <w:tcPr>
            <w:tcW w:type="dxa" w:w="662"/>
          </w:tcPr>
          <w:p>
            <w:pPr>
              <w:jc w:val="right"/>
            </w:pPr>
            <w:r>
              <w:rPr>
                <w:b w:val="0"/>
                <w:i w:val="0"/>
                <w:color w:val="A12D2C"/>
                <w:sz w:val="15"/>
              </w:rPr>
              <w:t>-2.4%</w:t>
            </w:r>
          </w:p>
        </w:tc>
        <w:tc>
          <w:tcPr>
            <w:tcW w:type="dxa" w:w="792"/>
          </w:tcPr>
          <w:p>
            <w:pPr>
              <w:jc w:val="right"/>
            </w:pPr>
            <w:r>
              <w:rPr>
                <w:b w:val="0"/>
                <w:i w:val="0"/>
                <w:color w:val="A12D2C"/>
                <w:sz w:val="15"/>
              </w:rPr>
              <w:t>-3.9%</w:t>
            </w:r>
          </w:p>
        </w:tc>
        <w:tc>
          <w:tcPr>
            <w:tcW w:type="dxa" w:w="1037"/>
            <w:shd w:val="clear" w:color="auto" w:fill="EFEEEA"/>
          </w:tcPr>
          <w:p>
            <w:r>
              <w:rPr>
                <w:b/>
                <w:i w:val="0"/>
                <w:color w:val="52514E"/>
                <w:sz w:val="15"/>
              </w:rPr>
              <w:t>Neutral</w:t>
            </w:r>
          </w:p>
        </w:tc>
        <w:tc>
          <w:tcPr>
            <w:tcW w:type="dxa" w:w="1382"/>
          </w:tcPr>
          <w:p>
            <w:r>
              <w:rPr>
                <w:b w:val="0"/>
                <w:i w:val="0"/>
                <w:sz w:val="15"/>
              </w:rPr>
              <w:t>Mixed (15)</w:t>
            </w:r>
          </w:p>
        </w:tc>
        <w:tc>
          <w:tcPr>
            <w:tcW w:type="dxa" w:w="1872"/>
          </w:tcPr>
          <w:p>
            <w:r>
              <w:rPr>
                <w:b w:val="0"/>
                <w:i w:val="0"/>
                <w:sz w:val="15"/>
              </w:rPr>
              <w:t>Weekly down · Below range</w:t>
            </w:r>
          </w:p>
        </w:tc>
        <w:tc>
          <w:tcPr>
            <w:tcW w:type="dxa" w:w="1642"/>
          </w:tcPr>
          <w:p>
            <w:r>
              <w:rPr>
                <w:b w:val="0"/>
                <w:i w:val="0"/>
                <w:sz w:val="15"/>
              </w:rPr>
              <w:t>Moved without a signal</w:t>
            </w:r>
          </w:p>
        </w:tc>
      </w:tr>
    </w:tbl>
    <w:p>
      <w:pPr>
        <w:spacing w:after="40"/>
      </w:pPr>
      <w:r>
        <w:rPr>
          <w:b w:val="0"/>
          <w:i w:val="0"/>
          <w:color w:val="52514E"/>
          <w:sz w:val="14"/>
        </w:rPr>
        <w:t>The ranking describes today: in our tests it did not predict which stocks did better the next day, so it is not a list of stocks to pick. News today: the tone and number of company articles collected today. Price chart: chart signals that fired. Price vs news: whether today's price moved with the reading (a move within ±0.6%, a normal day, counts as no reaction). ★ more company-event news than usual (earnings, dividends, upgrades). ⚑ worth a closer look (none today; meaning in the glossary).</w:t>
      </w:r>
    </w:p>
    <w:p>
      <w:pPr>
        <w:keepNext/>
        <w:pageBreakBefore/>
        <w:spacing w:before="0" w:after="40"/>
        <w:pBdr>
          <w:bottom w:val="single" w:sz="6" w:space="2" w:color="CDE2FB"/>
        </w:pBdr>
      </w:pPr>
      <w:r>
        <w:rPr>
          <w:b/>
          <w:i w:val="0"/>
          <w:color w:val="1A2E55"/>
          <w:sz w:val="26"/>
        </w:rPr>
        <w:t>2 · The last 5 trading days and what may explain them</w:t>
      </w:r>
    </w:p>
    <w:p>
      <w:pPr>
        <w:keepNext/>
      </w:pPr>
      <w:r>
        <w:rPr>
          <w:b w:val="0"/>
          <w:i w:val="0"/>
          <w:color w:val="52514E"/>
          <w:sz w:val="17"/>
        </w:rPr>
        <w:t>Each square is one day's news-and-signals reading for a stock; the bar is its price change over 28 Aug–03 Sep. Stocks are grouped by sector, best sector first.</w:t>
      </w:r>
    </w:p>
    <w:p>
      <w:pPr>
        <w:spacing w:after="40"/>
      </w:pPr>
      <w:r>
        <w:drawing>
          <wp:inline xmlns:a="http://schemas.openxmlformats.org/drawingml/2006/main" xmlns:pic="http://schemas.openxmlformats.org/drawingml/2006/picture">
            <wp:extent cx="6309360" cy="3650415"/>
            <wp:docPr id="1" name="Picture 1"/>
            <wp:cNvGraphicFramePr>
              <a:graphicFrameLocks noChangeAspect="1"/>
            </wp:cNvGraphicFramePr>
            <a:graphic>
              <a:graphicData uri="http://schemas.openxmlformats.org/drawingml/2006/picture">
                <pic:pic>
                  <pic:nvPicPr>
                    <pic:cNvPr id="0" name="week_2026-09-03.png"/>
                    <pic:cNvPicPr/>
                  </pic:nvPicPr>
                  <pic:blipFill>
                    <a:blip r:embed="rId10"/>
                    <a:stretch>
                      <a:fillRect/>
                    </a:stretch>
                  </pic:blipFill>
                  <pic:spPr>
                    <a:xfrm>
                      <a:off x="0" y="0"/>
                      <a:ext cx="6309360" cy="3650415"/>
                    </a:xfrm>
                    <a:prstGeom prst="rect"/>
                  </pic:spPr>
                </pic:pic>
              </a:graphicData>
            </a:graphic>
          </wp:inline>
        </w:drawing>
      </w:r>
    </w:p>
    <w:p>
      <w:pPr>
        <w:keepNext/>
        <w:spacing w:before="120" w:after="20"/>
      </w:pPr>
      <w:r>
        <w:rPr>
          <w:b/>
          <w:i w:val="0"/>
          <w:color w:val="1A2E55"/>
          <w:sz w:val="21"/>
        </w:rPr>
        <w:t>Where today's news adds something</w:t>
      </w:r>
    </w:p>
    <w:p>
      <w:pPr>
        <w:spacing w:after="40"/>
      </w:pPr>
      <w:r>
        <w:rPr>
          <w:b w:val="0"/>
          <w:i w:val="0"/>
          <w:color w:val="52514E"/>
          <w:sz w:val="15"/>
        </w:rPr>
        <w:t>The stocks with a positive or negative news-and-signals reading today (⚑ first, strongest first).</w:t>
      </w:r>
    </w:p>
    <w:p>
      <w:pPr>
        <w:spacing w:after="40"/>
      </w:pPr>
      <w:r>
        <w:rPr>
          <w:b w:val="0"/>
          <w:i w:val="0"/>
          <w:color w:val="52514E"/>
          <w:sz w:val="14"/>
        </w:rPr>
        <w:t>The AI summaries mention a 'geopolitical backdrop' and 'political news volume': those two rules fire every day and cancel out, so they carry no information (section 5).</w:t>
      </w:r>
    </w:p>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35" w:type="dxa"/>
          <w:bottom w:w="35" w:type="dxa"/>
          <w:left w:w="110" w:type="dxa"/>
          <w:right w:w="110" w:type="dxa"/>
        </w:tblCellMar>
      </w:tblPr>
      <w:tblGrid>
        <w:gridCol w:w="9936"/>
      </w:tblGrid>
      <w:tr>
        <w:trPr>
          <w:cantSplit/>
        </w:trPr>
        <w:tc>
          <w:tcPr>
            <w:tcW w:type="dxa" w:w="9936"/>
            <w:shd w:val="clear" w:color="auto" w:fill="F7F8FA"/>
            <w:tcBorders>
              <w:left w:val="single" w:sz="24" w:color="2A78D6"/>
            </w:tcBorders>
          </w:tcPr>
          <w:p>
            <w:r>
              <w:rPr>
                <w:b/>
                <w:i w:val="0"/>
                <w:color w:val="1A2E55"/>
                <w:sz w:val="21"/>
              </w:rPr>
              <w:t>DBS Group</w:t>
            </w:r>
            <w:r>
              <w:rPr>
                <w:b w:val="0"/>
                <w:i w:val="0"/>
                <w:color w:val="52514E"/>
                <w:sz w:val="17"/>
              </w:rPr>
              <w:t xml:space="preserve">   Banking  ·  +3.0% over 28 Aug–03 Sep</w:t>
            </w:r>
          </w:p>
          <w:p>
            <w:pPr>
              <w:spacing w:after="10" w:line="240" w:lineRule="auto"/>
            </w:pPr>
            <w:r>
              <w:rPr>
                <w:b/>
                <w:i w:val="0"/>
                <w:color w:val="1A2E55"/>
                <w:sz w:val="16"/>
              </w:rPr>
              <w:t xml:space="preserve">In short (AI-written, checked)  </w:t>
            </w:r>
            <w:r>
              <w:rPr>
                <w:b w:val="0"/>
                <w:i w:val="0"/>
                <w:sz w:val="16"/>
              </w:rPr>
              <w:t>DBS Group rose over 28–03 Sep by +3.0%. The news today was mostly positive and moved in the same direction as the price, matching the sector trend. The forecast model expects a rise, but its record is only a weak signal.</w:t>
            </w:r>
          </w:p>
          <w:p>
            <w:pPr>
              <w:spacing w:after="10" w:line="240" w:lineRule="auto"/>
            </w:pPr>
            <w:r>
              <w:rPr>
                <w:b/>
                <w:i w:val="0"/>
                <w:color w:val="1A2E55"/>
                <w:sz w:val="16"/>
              </w:rPr>
              <w:t xml:space="preserve">What happened  </w:t>
            </w:r>
            <w:r>
              <w:rPr>
                <w:b w:val="0"/>
                <w:i w:val="0"/>
                <w:sz w:val="16"/>
              </w:rPr>
              <w:t>Rose 3.0% over 28 Aug–03 Sep; its biggest day was Mon 31 Aug (+1.6%). Today +0.5%.</w:t>
            </w:r>
          </w:p>
          <w:p>
            <w:pPr>
              <w:spacing w:after="10" w:line="240" w:lineRule="auto"/>
            </w:pPr>
            <w:r>
              <w:rPr>
                <w:b/>
                <w:i w:val="0"/>
                <w:color w:val="1A2E55"/>
                <w:sz w:val="16"/>
              </w:rPr>
              <w:t xml:space="preserve">Today: news vs price  </w:t>
            </w:r>
            <w:r>
              <w:rPr>
                <w:b w:val="0"/>
                <w:i w:val="0"/>
                <w:sz w:val="16"/>
              </w:rPr>
              <w:t>Positive reading, but the price rose 0.5%, within a normal day's ±0.6%: the news has not shown up in the price. The forecast model still expects that direction. (Pattern: Muted, pending.)</w:t>
            </w:r>
          </w:p>
          <w:p>
            <w:pPr>
              <w:spacing w:after="10" w:line="240" w:lineRule="auto"/>
            </w:pPr>
            <w:r>
              <w:rPr>
                <w:b/>
                <w:i w:val="0"/>
                <w:color w:val="1A2E55"/>
                <w:sz w:val="16"/>
              </w:rPr>
              <w:t xml:space="preserve">Last 5 days in context  </w:t>
            </w:r>
            <w:r>
              <w:rPr>
                <w:b w:val="0"/>
                <w:i w:val="0"/>
                <w:sz w:val="16"/>
              </w:rPr>
              <w:t>Company news collected today was mostly positive; the price rose 3.0% over 28 Aug–03 Sep, its 2 sector peers +3.0% on average, and the 15 stocks -0.1% on average. So the company news and the price point the same way, and the move looks sector-wide.</w:t>
            </w:r>
          </w:p>
          <w:p>
            <w:pPr>
              <w:spacing w:after="10" w:line="240" w:lineRule="auto"/>
            </w:pPr>
            <w:r>
              <w:rPr>
                <w:b/>
                <w:i w:val="0"/>
                <w:color w:val="1A2E55"/>
                <w:sz w:val="16"/>
              </w:rPr>
              <w:t xml:space="preserve">News today  </w:t>
            </w:r>
            <w:r>
              <w:rPr>
                <w:b w:val="0"/>
                <w:i w:val="0"/>
                <w:sz w:val="16"/>
              </w:rPr>
              <w:t>43 articles collected today: 21 positive, 6 negative, 16 neutral (mostly positive). Event tags: dividend, earnings, merger or acquisition, management change, upgrade.</w:t>
            </w:r>
          </w:p>
          <w:p>
            <w:pPr>
              <w:spacing w:after="10" w:line="240" w:lineRule="auto"/>
            </w:pPr>
            <w:r>
              <w:rPr>
                <w:b/>
                <w:i w:val="0"/>
                <w:color w:val="1A2E55"/>
                <w:sz w:val="16"/>
              </w:rPr>
              <w:t xml:space="preserve">Headlines  </w:t>
            </w:r>
            <w:r>
              <w:rPr>
                <w:b w:val="0"/>
                <w:i w:val="0"/>
                <w:sz w:val="16"/>
              </w:rPr>
              <w:t>+ “DBS sees choppy Q3 for STI as investors pivot from Singapore banks to listcos that are unloc…” (The Business Times, 07 Aug)   − “Hunting for yield? DBS analysts bet on S-Reits over bank dividends” (Business Times, 02 Sep)</w:t>
            </w:r>
          </w:p>
          <w:p>
            <w:pPr>
              <w:spacing w:after="10" w:line="240" w:lineRule="auto"/>
            </w:pPr>
            <w:r>
              <w:rPr>
                <w:b/>
                <w:i w:val="0"/>
                <w:color w:val="1A2E55"/>
                <w:sz w:val="16"/>
              </w:rPr>
              <w:t xml:space="preserve">Price chart  </w:t>
            </w:r>
            <w:r>
              <w:rPr>
                <w:b w:val="0"/>
                <w:i w:val="0"/>
                <w:sz w:val="16"/>
              </w:rPr>
              <w:t>RSI 68, between 30 and 70: no unusually fast move; price above its usual range (Bollinger band); weekly trend up; price above its volume-weighted average.</w:t>
            </w:r>
          </w:p>
          <w:p>
            <w:pPr>
              <w:spacing w:after="10" w:line="240" w:lineRule="auto"/>
            </w:pPr>
            <w:r>
              <w:rPr>
                <w:b/>
                <w:i w:val="0"/>
                <w:color w:val="1A2E55"/>
                <w:sz w:val="16"/>
              </w:rPr>
              <w:t xml:space="preserve">News &amp; signals reading  </w:t>
            </w:r>
            <w:r>
              <w:rPr>
                <w:b w:val="0"/>
                <w:i w:val="0"/>
                <w:sz w:val="16"/>
              </w:rPr>
              <w:t>Positive today (score +0.94; positive above +0.35, negative below −0.35), and on all 3 earlier recorded days. No single rule decides it.</w:t>
            </w:r>
          </w:p>
          <w:p>
            <w:pPr>
              <w:spacing w:after="10" w:line="240" w:lineRule="auto"/>
            </w:pPr>
            <w:r>
              <w:rPr>
                <w:b/>
                <w:i w:val="0"/>
                <w:color w:val="1A2E55"/>
                <w:sz w:val="16"/>
              </w:rPr>
              <w:t xml:space="preserve">Rules behind the reading  </w:t>
            </w:r>
            <w:r>
              <w:rPr>
                <w:b w:val="0"/>
                <w:i w:val="0"/>
                <w:sz w:val="16"/>
              </w:rPr>
              <w:t>Up: above usual range +0.24, earnings/dividend headlines +0.20, positive company news +0.18, weekly trend up +0.15, above average price +0.02. Market-wide: ETF options positive +0.14, political news +0.01 (unreliable, section 5).</w:t>
            </w:r>
          </w:p>
          <w:p>
            <w:pPr>
              <w:spacing w:after="10" w:line="240" w:lineRule="auto"/>
            </w:pPr>
            <w:r>
              <w:rPr>
                <w:b/>
                <w:i w:val="0"/>
                <w:color w:val="1A2E55"/>
                <w:sz w:val="16"/>
              </w:rPr>
              <w:t xml:space="preserve">AI summary of the evidence (checked)  </w:t>
            </w:r>
            <w:r>
              <w:rPr>
                <w:b w:val="0"/>
                <w:i w:val="0"/>
                <w:sz w:val="16"/>
              </w:rPr>
              <w:t>DBS Group remains positive on the back of strong earnings momentum, a record‑high net profit and dividend raise, and technical signals such as price above the Bollinger upper band and weekly trend confirmation. Positive geopolitical conditions and a neutral macro regime further support the outlook, though elevated political news volume and negative news share introduce caution. RSI momentum and price above VWAP suggest a short‑term pullback could occur, and global macro concerns like the Iran war and oil price surges add external risk. Overall, the positive case is strong but tempered by these moderating factors.</w:t>
            </w:r>
          </w:p>
          <w:p>
            <w:pPr>
              <w:spacing w:after="10" w:line="240" w:lineRule="auto"/>
            </w:pPr>
            <w:r>
              <w:rPr>
                <w:b/>
                <w:i w:val="0"/>
                <w:color w:val="1A2E55"/>
                <w:sz w:val="16"/>
              </w:rPr>
              <w:t xml:space="preserve">Forecast lean  </w:t>
            </w:r>
            <w:r>
              <w:rPr>
                <w:b w:val="0"/>
                <w:i w:val="0"/>
                <w:sz w:val="16"/>
              </w:rPr>
              <w:t>Rise over the next 3 trading days (chance 58%); its normal 3-day swing is ±1.8%. Past record on this stock: ✓, but rise-or-fall calls marked ✓ were right only 29% in testing, so treat the direction as unknown.</w:t>
            </w:r>
          </w:p>
        </w:tc>
      </w:tr>
    </w:tbl>
    <w:p>
      <w:pPr>
        <w:spacing w:after="0" w:line="240" w:lineRule="auto"/>
      </w:pPr>
      <w:r>
        <w:rPr>
          <w:sz w:val="8"/>
        </w:rPr>
      </w:r>
    </w:p>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35" w:type="dxa"/>
          <w:bottom w:w="35" w:type="dxa"/>
          <w:left w:w="110" w:type="dxa"/>
          <w:right w:w="110" w:type="dxa"/>
        </w:tblCellMar>
      </w:tblPr>
      <w:tblGrid>
        <w:gridCol w:w="9936"/>
      </w:tblGrid>
      <w:tr>
        <w:trPr>
          <w:cantSplit/>
        </w:trPr>
        <w:tc>
          <w:tcPr>
            <w:tcW w:type="dxa" w:w="9936"/>
            <w:shd w:val="clear" w:color="auto" w:fill="F7F8FA"/>
            <w:tcBorders>
              <w:left w:val="single" w:sz="24" w:color="E34948"/>
            </w:tcBorders>
          </w:tcPr>
          <w:p>
            <w:r>
              <w:rPr>
                <w:b/>
                <w:i w:val="0"/>
                <w:color w:val="1A2E55"/>
                <w:sz w:val="21"/>
              </w:rPr>
              <w:t>CapitaLand Integrated Commercial Trust</w:t>
            </w:r>
            <w:r>
              <w:rPr>
                <w:b w:val="0"/>
                <w:i w:val="0"/>
                <w:color w:val="52514E"/>
                <w:sz w:val="17"/>
              </w:rPr>
              <w:t xml:space="preserve">   REIT  ·  -2.5% over 28 Aug–03 Sep</w:t>
            </w:r>
          </w:p>
          <w:p>
            <w:pPr>
              <w:spacing w:after="10" w:line="240" w:lineRule="auto"/>
            </w:pPr>
            <w:r>
              <w:rPr>
                <w:b/>
                <w:i w:val="0"/>
                <w:color w:val="1A2E55"/>
                <w:sz w:val="16"/>
              </w:rPr>
              <w:t xml:space="preserve">In short (AI-written, checked)  </w:t>
            </w:r>
            <w:r>
              <w:rPr>
                <w:b w:val="0"/>
                <w:i w:val="0"/>
                <w:sz w:val="16"/>
              </w:rPr>
              <w:t>CapitaLand Integrated Commercial Trust fell over 28–03 Sep by -2.5%. The price moved opposite to the mostly positive news, so the news does not explain the move. The forecast model still predicts a rise, but its record is only a weak signal.</w:t>
            </w:r>
          </w:p>
          <w:p>
            <w:pPr>
              <w:spacing w:after="10" w:line="240" w:lineRule="auto"/>
            </w:pPr>
            <w:r>
              <w:rPr>
                <w:b/>
                <w:i w:val="0"/>
                <w:color w:val="1A2E55"/>
                <w:sz w:val="16"/>
              </w:rPr>
              <w:t xml:space="preserve">What happened  </w:t>
            </w:r>
            <w:r>
              <w:rPr>
                <w:b w:val="0"/>
                <w:i w:val="0"/>
                <w:sz w:val="16"/>
              </w:rPr>
              <w:t>Fell 2.5% over 28 Aug–03 Sep; its biggest day was Thu 03 Sep (-0.9%). Today -0.9%.</w:t>
            </w:r>
          </w:p>
          <w:p>
            <w:pPr>
              <w:spacing w:after="10" w:line="240" w:lineRule="auto"/>
            </w:pPr>
            <w:r>
              <w:rPr>
                <w:b/>
                <w:i w:val="0"/>
                <w:color w:val="1A2E55"/>
                <w:sz w:val="16"/>
              </w:rPr>
              <w:t xml:space="preserve">Today: news vs price  </w:t>
            </w:r>
            <w:r>
              <w:rPr>
                <w:b w:val="0"/>
                <w:i w:val="0"/>
                <w:sz w:val="16"/>
              </w:rPr>
              <w:t>Positive reading, but the price fell 0.9%: the price went against the news. The forecast model sides with the news. (Pattern: Lag.)</w:t>
            </w:r>
          </w:p>
          <w:p>
            <w:pPr>
              <w:spacing w:after="10" w:line="240" w:lineRule="auto"/>
            </w:pPr>
            <w:r>
              <w:rPr>
                <w:b/>
                <w:i w:val="0"/>
                <w:color w:val="1A2E55"/>
                <w:sz w:val="16"/>
              </w:rPr>
              <w:t xml:space="preserve">Last 5 days in context  </w:t>
            </w:r>
            <w:r>
              <w:rPr>
                <w:b w:val="0"/>
                <w:i w:val="0"/>
                <w:sz w:val="16"/>
              </w:rPr>
              <w:t>Company news collected today was mostly positive; the price fell 2.5% over 28 Aug–03 Sep, its 3 sector peers -2.3% on average, and the 15 stocks -0.1% on average. So the company news and the price disagree; the move looks sector-wide.</w:t>
            </w:r>
          </w:p>
          <w:p>
            <w:pPr>
              <w:spacing w:after="10" w:line="240" w:lineRule="auto"/>
            </w:pPr>
            <w:r>
              <w:rPr>
                <w:b/>
                <w:i w:val="0"/>
                <w:color w:val="1A2E55"/>
                <w:sz w:val="16"/>
              </w:rPr>
              <w:t xml:space="preserve">News today  </w:t>
            </w:r>
            <w:r>
              <w:rPr>
                <w:b w:val="0"/>
                <w:i w:val="0"/>
                <w:sz w:val="16"/>
              </w:rPr>
              <w:t>29 articles collected today: 11 positive, 3 negative, 15 neutral (mostly positive). Event tags: dividend, earnings, merger or acquisition, upgrade.</w:t>
            </w:r>
          </w:p>
          <w:p>
            <w:pPr>
              <w:spacing w:after="10" w:line="240" w:lineRule="auto"/>
            </w:pPr>
            <w:r>
              <w:rPr>
                <w:b/>
                <w:i w:val="0"/>
                <w:color w:val="1A2E55"/>
                <w:sz w:val="16"/>
              </w:rPr>
              <w:t xml:space="preserve">Headlines  </w:t>
            </w:r>
            <w:r>
              <w:rPr>
                <w:b w:val="0"/>
                <w:i w:val="0"/>
                <w:sz w:val="16"/>
              </w:rPr>
              <w:t>+ “CapitaLand Integrated Commercial Trust (SGX:C38U) Stock Lags Its Strongest Half Yet” (simplywall.st, 13 Aug)</w:t>
            </w:r>
          </w:p>
          <w:p>
            <w:pPr>
              <w:spacing w:after="10" w:line="240" w:lineRule="auto"/>
            </w:pPr>
            <w:r>
              <w:rPr>
                <w:b/>
                <w:i w:val="0"/>
                <w:color w:val="1A2E55"/>
                <w:sz w:val="16"/>
              </w:rPr>
              <w:t xml:space="preserve">Price chart  </w:t>
            </w:r>
            <w:r>
              <w:rPr>
                <w:b w:val="0"/>
                <w:i w:val="0"/>
                <w:sz w:val="16"/>
              </w:rPr>
              <w:t>RSI 31, between 30 and 70: no unusually fast move.</w:t>
            </w:r>
          </w:p>
          <w:p>
            <w:pPr>
              <w:spacing w:after="10" w:line="240" w:lineRule="auto"/>
            </w:pPr>
            <w:r>
              <w:rPr>
                <w:b/>
                <w:i w:val="0"/>
                <w:color w:val="1A2E55"/>
                <w:sz w:val="16"/>
              </w:rPr>
              <w:t xml:space="preserve">News &amp; signals reading  </w:t>
            </w:r>
            <w:r>
              <w:rPr>
                <w:b w:val="0"/>
                <w:i w:val="0"/>
                <w:sz w:val="16"/>
              </w:rPr>
              <w:t>Positive today (score +0.53; positive above +0.35, negative below −0.35), and on all 3 earlier recorded days. It needs both 'Earnings/dividend headlines' and the positive news: without either it would be neutral.</w:t>
            </w:r>
          </w:p>
          <w:p>
            <w:pPr>
              <w:spacing w:after="10" w:line="240" w:lineRule="auto"/>
            </w:pPr>
            <w:r>
              <w:rPr>
                <w:b/>
                <w:i w:val="0"/>
                <w:color w:val="1A2E55"/>
                <w:sz w:val="16"/>
              </w:rPr>
              <w:t xml:space="preserve">Rules behind the reading  </w:t>
            </w:r>
            <w:r>
              <w:rPr>
                <w:b w:val="0"/>
                <w:i w:val="0"/>
                <w:sz w:val="16"/>
              </w:rPr>
              <w:t>Up: earnings/dividend headlines +0.20, positive company news +0.18. Market-wide: ETF options positive +0.14, political news +0.01 (unreliable, section 5).</w:t>
            </w:r>
          </w:p>
          <w:p>
            <w:pPr>
              <w:spacing w:after="10" w:line="240" w:lineRule="auto"/>
            </w:pPr>
            <w:r>
              <w:rPr>
                <w:b/>
                <w:i w:val="0"/>
                <w:color w:val="1A2E55"/>
                <w:sz w:val="16"/>
              </w:rPr>
              <w:t xml:space="preserve">AI summary of the evidence (checked)  </w:t>
            </w:r>
            <w:r>
              <w:rPr>
                <w:b w:val="0"/>
                <w:i w:val="0"/>
                <w:sz w:val="16"/>
              </w:rPr>
              <w:t>CapitaLand Integrated Commercial Trust maintains a positive outlook, driven by strong corporate events such as a 16.4% surge in second‑half distribution and a 7.9% rise in net property income, alongside positive company news sentiment from a S$600 million private placement. The rule‑based model also flags a positive geopolitical backdrop and positive options market positioning, while RSI momentum adds further upside. However, elevated political news volume and negative news share, coupled with VIX‑driven volatility, introduce headwinds that could temper the rally. Despite these risks, the consensus from both machine‑learning models remains neutral, suggesting caution but not a reversal of the positive stance.</w:t>
            </w:r>
          </w:p>
          <w:p>
            <w:pPr>
              <w:spacing w:after="10" w:line="240" w:lineRule="auto"/>
            </w:pPr>
            <w:r>
              <w:rPr>
                <w:b/>
                <w:i w:val="0"/>
                <w:color w:val="1A2E55"/>
                <w:sz w:val="16"/>
              </w:rPr>
              <w:t xml:space="preserve">Forecast lean  </w:t>
            </w:r>
            <w:r>
              <w:rPr>
                <w:b w:val="0"/>
                <w:i w:val="0"/>
                <w:sz w:val="16"/>
              </w:rPr>
              <w:t>Rise over the next 3 trading days (chance 50%); its normal 3-day swing is ±1.5%. Past record on this stock: ✓, but rise-or-fall calls marked ✓ were right only 29% in testing, so treat the direction as unknown.</w:t>
            </w:r>
          </w:p>
        </w:tc>
      </w:tr>
    </w:tbl>
    <w:p>
      <w:pPr>
        <w:spacing w:after="0" w:line="240" w:lineRule="auto"/>
      </w:pPr>
      <w:r>
        <w:rPr>
          <w:sz w:val="8"/>
        </w:rPr>
      </w:r>
    </w:p>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35" w:type="dxa"/>
          <w:bottom w:w="35" w:type="dxa"/>
          <w:left w:w="110" w:type="dxa"/>
          <w:right w:w="110" w:type="dxa"/>
        </w:tblCellMar>
      </w:tblPr>
      <w:tblGrid>
        <w:gridCol w:w="9936"/>
      </w:tblGrid>
      <w:tr>
        <w:trPr>
          <w:cantSplit/>
        </w:trPr>
        <w:tc>
          <w:tcPr>
            <w:tcW w:type="dxa" w:w="9936"/>
            <w:shd w:val="clear" w:color="auto" w:fill="F7F8FA"/>
            <w:tcBorders>
              <w:left w:val="single" w:sz="24" w:color="E34948"/>
            </w:tcBorders>
          </w:tcPr>
          <w:p>
            <w:r>
              <w:rPr>
                <w:b/>
                <w:i w:val="0"/>
                <w:color w:val="1A2E55"/>
                <w:sz w:val="21"/>
              </w:rPr>
              <w:t>SGX Group</w:t>
            </w:r>
            <w:r>
              <w:rPr>
                <w:b w:val="0"/>
                <w:i w:val="0"/>
                <w:color w:val="52514E"/>
                <w:sz w:val="17"/>
              </w:rPr>
              <w:t xml:space="preserve">   Financial Services  ·  -1.1% over 28 Aug–03 Sep</w:t>
            </w:r>
          </w:p>
          <w:p>
            <w:pPr>
              <w:spacing w:after="10" w:line="240" w:lineRule="auto"/>
            </w:pPr>
            <w:r>
              <w:rPr>
                <w:b/>
                <w:i w:val="0"/>
                <w:color w:val="1A2E55"/>
                <w:sz w:val="16"/>
              </w:rPr>
              <w:t xml:space="preserve">In short (AI-written, checked)  </w:t>
            </w:r>
            <w:r>
              <w:rPr>
                <w:b w:val="0"/>
                <w:i w:val="0"/>
                <w:sz w:val="16"/>
              </w:rPr>
              <w:t>SGX Group fell over 28–03 Sep by -1.1%. The price has not yet reflected the mostly positive news, so the news does not explain the move. The forecast model predicts a rise, but its record is worse than a simple rule, so it deserves little weight.</w:t>
            </w:r>
          </w:p>
          <w:p>
            <w:pPr>
              <w:spacing w:after="10" w:line="240" w:lineRule="auto"/>
            </w:pPr>
            <w:r>
              <w:rPr>
                <w:b/>
                <w:i w:val="0"/>
                <w:color w:val="1A2E55"/>
                <w:sz w:val="16"/>
              </w:rPr>
              <w:t xml:space="preserve">What happened  </w:t>
            </w:r>
            <w:r>
              <w:rPr>
                <w:b w:val="0"/>
                <w:i w:val="0"/>
                <w:sz w:val="16"/>
              </w:rPr>
              <w:t>Fell 1.1% over 28 Aug–03 Sep, including -2.2% on Tue 01 Sep. Today +0.2%.</w:t>
            </w:r>
          </w:p>
          <w:p>
            <w:pPr>
              <w:spacing w:after="10" w:line="240" w:lineRule="auto"/>
            </w:pPr>
            <w:r>
              <w:rPr>
                <w:b/>
                <w:i w:val="0"/>
                <w:color w:val="1A2E55"/>
                <w:sz w:val="16"/>
              </w:rPr>
              <w:t xml:space="preserve">Today: news vs price  </w:t>
            </w:r>
            <w:r>
              <w:rPr>
                <w:b w:val="0"/>
                <w:i w:val="0"/>
                <w:sz w:val="16"/>
              </w:rPr>
              <w:t>Positive reading, but the price rose 0.2%, within a normal day's ±0.6%: the news has not shown up in the price. The forecast model still expects that direction. (Pattern: Muted, pending.)</w:t>
            </w:r>
          </w:p>
          <w:p>
            <w:pPr>
              <w:spacing w:after="10" w:line="240" w:lineRule="auto"/>
            </w:pPr>
            <w:r>
              <w:rPr>
                <w:b/>
                <w:i w:val="0"/>
                <w:color w:val="1A2E55"/>
                <w:sz w:val="16"/>
              </w:rPr>
              <w:t xml:space="preserve">Last 5 days in context  </w:t>
            </w:r>
            <w:r>
              <w:rPr>
                <w:b w:val="0"/>
                <w:i w:val="0"/>
                <w:sz w:val="16"/>
              </w:rPr>
              <w:t>Company news collected today was mostly positive; the price fell 1.1% over 28 Aug–03 Sep, against -0.1% for the 15 stocks on average. So the company news and the price disagree.</w:t>
            </w:r>
          </w:p>
          <w:p>
            <w:pPr>
              <w:spacing w:after="10" w:line="240" w:lineRule="auto"/>
            </w:pPr>
            <w:r>
              <w:rPr>
                <w:b/>
                <w:i w:val="0"/>
                <w:color w:val="1A2E55"/>
                <w:sz w:val="16"/>
              </w:rPr>
              <w:t xml:space="preserve">News today  </w:t>
            </w:r>
            <w:r>
              <w:rPr>
                <w:b w:val="0"/>
                <w:i w:val="0"/>
                <w:sz w:val="16"/>
              </w:rPr>
              <w:t>50 articles collected today: 18 positive, 3 negative, 29 neutral (mostly positive). Event tags: dividend, earnings, upgrade.</w:t>
            </w:r>
          </w:p>
          <w:p>
            <w:pPr>
              <w:spacing w:after="10" w:line="240" w:lineRule="auto"/>
            </w:pPr>
            <w:r>
              <w:rPr>
                <w:b/>
                <w:i w:val="0"/>
                <w:color w:val="1A2E55"/>
                <w:sz w:val="16"/>
              </w:rPr>
              <w:t xml:space="preserve">Price chart  </w:t>
            </w:r>
            <w:r>
              <w:rPr>
                <w:b w:val="0"/>
                <w:i w:val="0"/>
                <w:sz w:val="16"/>
              </w:rPr>
              <w:t>RSI 50, between 30 and 70: no unusually fast move; weekly trend up; price above its volume-weighted average.</w:t>
            </w:r>
          </w:p>
          <w:p>
            <w:pPr>
              <w:spacing w:after="10" w:line="240" w:lineRule="auto"/>
            </w:pPr>
            <w:r>
              <w:rPr>
                <w:b/>
                <w:i w:val="0"/>
                <w:color w:val="1A2E55"/>
                <w:sz w:val="16"/>
              </w:rPr>
              <w:t xml:space="preserve">News &amp; signals reading  </w:t>
            </w:r>
            <w:r>
              <w:rPr>
                <w:b w:val="0"/>
                <w:i w:val="0"/>
                <w:sz w:val="16"/>
              </w:rPr>
              <w:t>Positive today (score +0.70; positive above +0.35, negative below −0.35), and on all 3 earlier recorded days. No single rule decides it.</w:t>
            </w:r>
          </w:p>
          <w:p>
            <w:pPr>
              <w:spacing w:after="10" w:line="240" w:lineRule="auto"/>
            </w:pPr>
            <w:r>
              <w:rPr>
                <w:b/>
                <w:i w:val="0"/>
                <w:color w:val="1A2E55"/>
                <w:sz w:val="16"/>
              </w:rPr>
              <w:t xml:space="preserve">Rules behind the reading  </w:t>
            </w:r>
            <w:r>
              <w:rPr>
                <w:b w:val="0"/>
                <w:i w:val="0"/>
                <w:sz w:val="16"/>
              </w:rPr>
              <w:t>Up: earnings/dividend headlines +0.20, positive company news +0.18, weekly trend up +0.15, above average price +0.02. Market-wide: ETF options positive +0.14, political news +0.01 (unreliable, section 5).</w:t>
            </w:r>
          </w:p>
          <w:p>
            <w:pPr>
              <w:spacing w:after="10" w:line="240" w:lineRule="auto"/>
            </w:pPr>
            <w:r>
              <w:rPr>
                <w:b/>
                <w:i w:val="0"/>
                <w:color w:val="1A2E55"/>
                <w:sz w:val="16"/>
              </w:rPr>
              <w:t xml:space="preserve">AI summary of the evidence (checked)  </w:t>
            </w:r>
            <w:r>
              <w:rPr>
                <w:b w:val="0"/>
                <w:i w:val="0"/>
                <w:sz w:val="16"/>
              </w:rPr>
              <w:t>SGX remains positive on the back of strong trading volumes, a resilient multi‑asset model, and a positive geopolitical backdrop, as evidenced by recent Business Times and Yahoo Finance coverage. The ML-model analysis reinforces this view with VIX and political news tone contributing positively, while the rule‑based model highlights positive corporate events and positive company sentiment. However, elevated political news volume and a put‑heavy volume ratio introduce caution, and the RandomForest model’s neutral stance contrasts with the LogReg positive prediction, underscoring a mild internal contradiction.</w:t>
            </w:r>
          </w:p>
          <w:p>
            <w:pPr>
              <w:spacing w:after="10" w:line="240" w:lineRule="auto"/>
            </w:pPr>
            <w:r>
              <w:rPr>
                <w:b/>
                <w:i w:val="0"/>
                <w:color w:val="1A2E55"/>
                <w:sz w:val="16"/>
              </w:rPr>
              <w:t xml:space="preserve">Forecast lean  </w:t>
            </w:r>
            <w:r>
              <w:rPr>
                <w:b w:val="0"/>
                <w:i w:val="0"/>
                <w:sz w:val="16"/>
              </w:rPr>
              <w:t>Rise over the next 3 trading days (chance 61%); its normal 3-day swing is ±2.1%. Past record on this stock: below a simple rule (✗), so this call carries no weight.</w:t>
            </w:r>
          </w:p>
        </w:tc>
      </w:tr>
    </w:tbl>
    <w:p>
      <w:pPr>
        <w:keepNext/>
        <w:pageBreakBefore/>
        <w:spacing w:before="0" w:after="40"/>
        <w:pBdr>
          <w:bottom w:val="single" w:sz="6" w:space="2" w:color="CDE2FB"/>
        </w:pBdr>
      </w:pPr>
      <w:r>
        <w:rPr>
          <w:b/>
          <w:i w:val="0"/>
          <w:color w:val="1A2E55"/>
          <w:sz w:val="26"/>
        </w:rPr>
        <w:t>3 · The next 3 trading days: how much each stock may move</w:t>
      </w:r>
    </w:p>
    <w:p>
      <w:pPr>
        <w:keepNext/>
      </w:pPr>
      <w:r>
        <w:rPr>
          <w:b w:val="0"/>
          <w:i w:val="0"/>
          <w:color w:val="52514E"/>
          <w:sz w:val="17"/>
        </w:rPr>
        <w:t>The normal swing and the calmer stocks have held up in testing. The up-or-down lean has not: even with ✓, a rise-or-fall call is no better than a guess.</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26" w:type="dxa"/>
          <w:bottom w:w="26" w:type="dxa"/>
          <w:left w:w="60" w:type="dxa"/>
          <w:right w:w="60" w:type="dxa"/>
        </w:tblCellMar>
      </w:tblPr>
      <w:tblGrid>
        <w:gridCol w:w="2664"/>
        <w:gridCol w:w="1368"/>
        <w:gridCol w:w="1440"/>
        <w:gridCol w:w="1440"/>
        <w:gridCol w:w="1008"/>
        <w:gridCol w:w="2016"/>
      </w:tblGrid>
      <w:tr>
        <w:tc>
          <w:tcPr>
            <w:tcW w:type="dxa" w:w="2664"/>
            <w:shd w:val="clear" w:color="auto" w:fill="1A2E55"/>
          </w:tcPr>
          <w:p>
            <w:pPr>
              <w:keepNext/>
            </w:pPr>
            <w:r>
              <w:rPr>
                <w:b/>
                <w:i w:val="0"/>
                <w:color w:val="FFFFFF"/>
                <w:sz w:val="15"/>
              </w:rPr>
              <w:t>Stock</w:t>
            </w:r>
          </w:p>
        </w:tc>
        <w:tc>
          <w:tcPr>
            <w:tcW w:type="dxa" w:w="1368"/>
            <w:shd w:val="clear" w:color="auto" w:fill="1A2E55"/>
          </w:tcPr>
          <w:p>
            <w:pPr>
              <w:keepNext/>
              <w:jc w:val="right"/>
            </w:pPr>
            <w:r>
              <w:rPr>
                <w:b/>
                <w:i w:val="0"/>
                <w:color w:val="FFFFFF"/>
                <w:sz w:val="15"/>
              </w:rPr>
              <w:t>Normal 3-day swing</w:t>
            </w:r>
          </w:p>
        </w:tc>
        <w:tc>
          <w:tcPr>
            <w:tcW w:type="dxa" w:w="1440"/>
            <w:shd w:val="clear" w:color="auto" w:fill="1A2E55"/>
          </w:tcPr>
          <w:p>
            <w:pPr>
              <w:keepNext/>
            </w:pPr>
            <w:r>
              <w:rPr>
                <w:b/>
                <w:i w:val="0"/>
                <w:color w:val="FFFFFF"/>
                <w:sz w:val="15"/>
              </w:rPr>
              <w:t>Calmer than most</w:t>
            </w:r>
          </w:p>
        </w:tc>
        <w:tc>
          <w:tcPr>
            <w:tcW w:type="dxa" w:w="1440"/>
            <w:shd w:val="clear" w:color="auto" w:fill="1A2E55"/>
          </w:tcPr>
          <w:p>
            <w:pPr>
              <w:keepNext/>
            </w:pPr>
            <w:r>
              <w:rPr>
                <w:b/>
                <w:i w:val="0"/>
                <w:color w:val="FFFFFF"/>
                <w:sz w:val="15"/>
              </w:rPr>
              <w:t>Forecast lean</w:t>
            </w:r>
          </w:p>
        </w:tc>
        <w:tc>
          <w:tcPr>
            <w:tcW w:type="dxa" w:w="1008"/>
            <w:shd w:val="clear" w:color="auto" w:fill="1A2E55"/>
          </w:tcPr>
          <w:p>
            <w:pPr>
              <w:keepNext/>
              <w:jc w:val="right"/>
            </w:pPr>
            <w:r>
              <w:rPr>
                <w:b/>
                <w:i w:val="0"/>
                <w:color w:val="FFFFFF"/>
                <w:sz w:val="15"/>
              </w:rPr>
              <w:t>Chance</w:t>
            </w:r>
          </w:p>
        </w:tc>
        <w:tc>
          <w:tcPr>
            <w:tcW w:type="dxa" w:w="2016"/>
            <w:shd w:val="clear" w:color="auto" w:fill="1A2E55"/>
          </w:tcPr>
          <w:p>
            <w:pPr>
              <w:keepNext/>
            </w:pPr>
            <w:r>
              <w:rPr>
                <w:b/>
                <w:i w:val="0"/>
                <w:color w:val="FFFFFF"/>
                <w:sz w:val="15"/>
              </w:rPr>
              <w:t>Record vs simple rule</w:t>
            </w:r>
          </w:p>
        </w:tc>
      </w:tr>
      <w:tr>
        <w:tc>
          <w:tcPr>
            <w:tcW w:type="dxa" w:w="2664"/>
          </w:tcPr>
          <w:p>
            <w:pPr>
              <w:keepNext/>
            </w:pPr>
            <w:r>
              <w:rPr>
                <w:b w:val="0"/>
                <w:i w:val="0"/>
                <w:sz w:val="16"/>
              </w:rPr>
              <w:t>Mapletree Industrial</w:t>
            </w:r>
          </w:p>
        </w:tc>
        <w:tc>
          <w:tcPr>
            <w:tcW w:type="dxa" w:w="1368"/>
          </w:tcPr>
          <w:p>
            <w:pPr>
              <w:keepNext/>
              <w:jc w:val="right"/>
            </w:pPr>
            <w:r>
              <w:rPr>
                <w:b w:val="0"/>
                <w:i w:val="0"/>
                <w:sz w:val="16"/>
              </w:rPr>
              <w:t>±0.8%</w:t>
            </w:r>
          </w:p>
        </w:tc>
        <w:tc>
          <w:tcPr>
            <w:tcW w:type="dxa" w:w="1440"/>
          </w:tcPr>
          <w:p>
            <w:pPr>
              <w:keepNext/>
            </w:pPr>
            <w:r>
              <w:rPr>
                <w:b w:val="0"/>
                <w:i w:val="0"/>
                <w:sz w:val="16"/>
              </w:rPr>
            </w:r>
          </w:p>
        </w:tc>
        <w:tc>
          <w:tcPr>
            <w:tcW w:type="dxa" w:w="1440"/>
          </w:tcPr>
          <w:p>
            <w:pPr>
              <w:keepNext/>
            </w:pPr>
            <w:r>
              <w:rPr>
                <w:b w:val="0"/>
                <w:i w:val="0"/>
                <w:color w:val="52514E"/>
                <w:sz w:val="16"/>
              </w:rPr>
              <w:t>No big move</w:t>
            </w:r>
          </w:p>
        </w:tc>
        <w:tc>
          <w:tcPr>
            <w:tcW w:type="dxa" w:w="1008"/>
          </w:tcPr>
          <w:p>
            <w:pPr>
              <w:keepNext/>
              <w:jc w:val="right"/>
            </w:pPr>
            <w:r>
              <w:rPr>
                <w:b w:val="0"/>
                <w:i w:val="0"/>
                <w:sz w:val="16"/>
              </w:rPr>
              <w:t>54%</w:t>
            </w:r>
          </w:p>
        </w:tc>
        <w:tc>
          <w:tcPr>
            <w:tcW w:type="dxa" w:w="2016"/>
            <w:shd w:val="clear" w:color="auto" w:fill="E4F3E4"/>
          </w:tcPr>
          <w:p>
            <w:pPr>
              <w:keepNext/>
            </w:pPr>
            <w:r>
              <w:rPr>
                <w:b/>
                <w:i w:val="0"/>
                <w:color w:val="0A6E0A"/>
                <w:sz w:val="16"/>
              </w:rPr>
              <w:t>±0 pts ✓</w:t>
            </w:r>
          </w:p>
        </w:tc>
      </w:tr>
      <w:tr>
        <w:tc>
          <w:tcPr>
            <w:tcW w:type="dxa" w:w="2664"/>
            <w:shd w:val="clear" w:color="auto" w:fill="F7F7F5"/>
          </w:tcPr>
          <w:p>
            <w:pPr>
              <w:keepNext/>
            </w:pPr>
            <w:r>
              <w:rPr>
                <w:b w:val="0"/>
                <w:i w:val="0"/>
                <w:sz w:val="16"/>
              </w:rPr>
              <w:t>Raffles Medical Group</w:t>
            </w:r>
          </w:p>
        </w:tc>
        <w:tc>
          <w:tcPr>
            <w:tcW w:type="dxa" w:w="1368"/>
            <w:shd w:val="clear" w:color="auto" w:fill="F7F7F5"/>
          </w:tcPr>
          <w:p>
            <w:pPr>
              <w:keepNext/>
              <w:jc w:val="right"/>
            </w:pPr>
            <w:r>
              <w:rPr>
                <w:b w:val="0"/>
                <w:i w:val="0"/>
                <w:sz w:val="16"/>
              </w:rPr>
              <w:t>±0.8%</w:t>
            </w:r>
          </w:p>
        </w:tc>
        <w:tc>
          <w:tcPr>
            <w:tcW w:type="dxa" w:w="1440"/>
            <w:shd w:val="clear" w:color="auto" w:fill="DCEAFB"/>
          </w:tcPr>
          <w:p>
            <w:pPr>
              <w:keepNext/>
            </w:pPr>
            <w:r>
              <w:rPr>
                <w:b/>
                <w:i w:val="0"/>
                <w:color w:val="1C5CAB"/>
                <w:sz w:val="16"/>
              </w:rPr>
              <w:t>✓ calmer</w:t>
            </w:r>
          </w:p>
        </w:tc>
        <w:tc>
          <w:tcPr>
            <w:tcW w:type="dxa" w:w="1440"/>
            <w:shd w:val="clear" w:color="auto" w:fill="F7F7F5"/>
          </w:tcPr>
          <w:p>
            <w:pPr>
              <w:keepNext/>
            </w:pPr>
            <w:r>
              <w:rPr>
                <w:b w:val="0"/>
                <w:i w:val="0"/>
                <w:color w:val="52514E"/>
                <w:sz w:val="16"/>
              </w:rPr>
              <w:t>No big move</w:t>
            </w:r>
          </w:p>
        </w:tc>
        <w:tc>
          <w:tcPr>
            <w:tcW w:type="dxa" w:w="1008"/>
            <w:shd w:val="clear" w:color="auto" w:fill="F7F7F5"/>
          </w:tcPr>
          <w:p>
            <w:pPr>
              <w:keepNext/>
              <w:jc w:val="right"/>
            </w:pPr>
            <w:r>
              <w:rPr>
                <w:b w:val="0"/>
                <w:i w:val="0"/>
                <w:sz w:val="16"/>
              </w:rPr>
              <w:t>57%</w:t>
            </w:r>
          </w:p>
        </w:tc>
        <w:tc>
          <w:tcPr>
            <w:tcW w:type="dxa" w:w="2016"/>
            <w:shd w:val="clear" w:color="auto" w:fill="E4F3E4"/>
          </w:tcPr>
          <w:p>
            <w:pPr>
              <w:keepNext/>
            </w:pPr>
            <w:r>
              <w:rPr>
                <w:b/>
                <w:i w:val="0"/>
                <w:color w:val="0A6E0A"/>
                <w:sz w:val="16"/>
              </w:rPr>
              <w:t>±0 pts ✓</w:t>
            </w:r>
          </w:p>
        </w:tc>
      </w:tr>
      <w:tr>
        <w:tc>
          <w:tcPr>
            <w:tcW w:type="dxa" w:w="2664"/>
          </w:tcPr>
          <w:p>
            <w:pPr>
              <w:keepNext/>
            </w:pPr>
            <w:r>
              <w:rPr>
                <w:b w:val="0"/>
                <w:i w:val="0"/>
                <w:sz w:val="16"/>
              </w:rPr>
              <w:t>Ascendas REIT</w:t>
            </w:r>
          </w:p>
        </w:tc>
        <w:tc>
          <w:tcPr>
            <w:tcW w:type="dxa" w:w="1368"/>
          </w:tcPr>
          <w:p>
            <w:pPr>
              <w:keepNext/>
              <w:jc w:val="right"/>
            </w:pPr>
            <w:r>
              <w:rPr>
                <w:b w:val="0"/>
                <w:i w:val="0"/>
                <w:sz w:val="16"/>
              </w:rPr>
              <w:t>±1.2%</w:t>
            </w:r>
          </w:p>
        </w:tc>
        <w:tc>
          <w:tcPr>
            <w:tcW w:type="dxa" w:w="1440"/>
            <w:shd w:val="clear" w:color="auto" w:fill="DCEAFB"/>
          </w:tcPr>
          <w:p>
            <w:pPr>
              <w:keepNext/>
            </w:pPr>
            <w:r>
              <w:rPr>
                <w:b/>
                <w:i w:val="0"/>
                <w:color w:val="1C5CAB"/>
                <w:sz w:val="16"/>
              </w:rPr>
              <w:t>✓ calmer</w:t>
            </w:r>
          </w:p>
        </w:tc>
        <w:tc>
          <w:tcPr>
            <w:tcW w:type="dxa" w:w="1440"/>
          </w:tcPr>
          <w:p>
            <w:pPr>
              <w:keepNext/>
            </w:pPr>
            <w:r>
              <w:rPr>
                <w:b w:val="0"/>
                <w:i w:val="0"/>
                <w:color w:val="52514E"/>
                <w:sz w:val="16"/>
              </w:rPr>
              <w:t>No big move</w:t>
            </w:r>
          </w:p>
        </w:tc>
        <w:tc>
          <w:tcPr>
            <w:tcW w:type="dxa" w:w="1008"/>
          </w:tcPr>
          <w:p>
            <w:pPr>
              <w:keepNext/>
              <w:jc w:val="right"/>
            </w:pPr>
            <w:r>
              <w:rPr>
                <w:b w:val="0"/>
                <w:i w:val="0"/>
                <w:sz w:val="16"/>
              </w:rPr>
              <w:t>80%</w:t>
            </w:r>
          </w:p>
        </w:tc>
        <w:tc>
          <w:tcPr>
            <w:tcW w:type="dxa" w:w="2016"/>
            <w:shd w:val="clear" w:color="auto" w:fill="E4F3E4"/>
          </w:tcPr>
          <w:p>
            <w:pPr>
              <w:keepNext/>
            </w:pPr>
            <w:r>
              <w:rPr>
                <w:b/>
                <w:i w:val="0"/>
                <w:color w:val="0A6E0A"/>
                <w:sz w:val="16"/>
              </w:rPr>
              <w:t>+25 pts ✓</w:t>
            </w:r>
          </w:p>
        </w:tc>
      </w:tr>
      <w:tr>
        <w:tc>
          <w:tcPr>
            <w:tcW w:type="dxa" w:w="2664"/>
            <w:shd w:val="clear" w:color="auto" w:fill="F7F7F5"/>
          </w:tcPr>
          <w:p>
            <w:pPr>
              <w:keepNext/>
            </w:pPr>
            <w:r>
              <w:rPr>
                <w:b w:val="0"/>
                <w:i w:val="0"/>
                <w:sz w:val="16"/>
              </w:rPr>
              <w:t>Mapletree Pan Asia Comm. Trust</w:t>
            </w:r>
          </w:p>
        </w:tc>
        <w:tc>
          <w:tcPr>
            <w:tcW w:type="dxa" w:w="1368"/>
            <w:shd w:val="clear" w:color="auto" w:fill="F7F7F5"/>
          </w:tcPr>
          <w:p>
            <w:pPr>
              <w:keepNext/>
              <w:jc w:val="right"/>
            </w:pPr>
            <w:r>
              <w:rPr>
                <w:b w:val="0"/>
                <w:i w:val="0"/>
                <w:sz w:val="16"/>
              </w:rPr>
              <w:t>±1.4%</w:t>
            </w:r>
          </w:p>
        </w:tc>
        <w:tc>
          <w:tcPr>
            <w:tcW w:type="dxa" w:w="1440"/>
            <w:shd w:val="clear" w:color="auto" w:fill="DCEAFB"/>
          </w:tcPr>
          <w:p>
            <w:pPr>
              <w:keepNext/>
            </w:pPr>
            <w:r>
              <w:rPr>
                <w:b/>
                <w:i w:val="0"/>
                <w:color w:val="1C5CAB"/>
                <w:sz w:val="16"/>
              </w:rPr>
              <w:t>✓ calmer</w:t>
            </w:r>
          </w:p>
        </w:tc>
        <w:tc>
          <w:tcPr>
            <w:tcW w:type="dxa" w:w="1440"/>
            <w:shd w:val="clear" w:color="auto" w:fill="F7F7F5"/>
          </w:tcPr>
          <w:p>
            <w:pPr>
              <w:keepNext/>
            </w:pPr>
            <w:r>
              <w:rPr>
                <w:b w:val="0"/>
                <w:i w:val="0"/>
                <w:color w:val="52514E"/>
                <w:sz w:val="16"/>
              </w:rPr>
              <w:t>No big move</w:t>
            </w:r>
          </w:p>
        </w:tc>
        <w:tc>
          <w:tcPr>
            <w:tcW w:type="dxa" w:w="1008"/>
            <w:shd w:val="clear" w:color="auto" w:fill="F7F7F5"/>
          </w:tcPr>
          <w:p>
            <w:pPr>
              <w:keepNext/>
              <w:jc w:val="right"/>
            </w:pPr>
            <w:r>
              <w:rPr>
                <w:b w:val="0"/>
                <w:i w:val="0"/>
                <w:sz w:val="16"/>
              </w:rPr>
              <w:t>80%</w:t>
            </w:r>
          </w:p>
        </w:tc>
        <w:tc>
          <w:tcPr>
            <w:tcW w:type="dxa" w:w="2016"/>
            <w:shd w:val="clear" w:color="auto" w:fill="FBE1E0"/>
          </w:tcPr>
          <w:p>
            <w:pPr>
              <w:keepNext/>
            </w:pPr>
            <w:r>
              <w:rPr>
                <w:b/>
                <w:i w:val="0"/>
                <w:color w:val="A12D2C"/>
                <w:sz w:val="16"/>
              </w:rPr>
              <w:t>−12 pts ✗</w:t>
            </w:r>
          </w:p>
        </w:tc>
      </w:tr>
      <w:tr>
        <w:tc>
          <w:tcPr>
            <w:tcW w:type="dxa" w:w="2664"/>
          </w:tcPr>
          <w:p>
            <w:pPr>
              <w:keepNext/>
            </w:pPr>
            <w:r>
              <w:rPr>
                <w:b w:val="0"/>
                <w:i w:val="0"/>
                <w:sz w:val="16"/>
              </w:rPr>
              <w:t>CapitaLand Integ. Comm. Trust</w:t>
            </w:r>
          </w:p>
        </w:tc>
        <w:tc>
          <w:tcPr>
            <w:tcW w:type="dxa" w:w="1368"/>
          </w:tcPr>
          <w:p>
            <w:pPr>
              <w:keepNext/>
              <w:jc w:val="right"/>
            </w:pPr>
            <w:r>
              <w:rPr>
                <w:b w:val="0"/>
                <w:i w:val="0"/>
                <w:sz w:val="16"/>
              </w:rPr>
              <w:t>±1.5%</w:t>
            </w:r>
          </w:p>
        </w:tc>
        <w:tc>
          <w:tcPr>
            <w:tcW w:type="dxa" w:w="1440"/>
          </w:tcPr>
          <w:p>
            <w:pPr>
              <w:keepNext/>
            </w:pPr>
            <w:r>
              <w:rPr>
                <w:b w:val="0"/>
                <w:i w:val="0"/>
                <w:sz w:val="16"/>
              </w:rPr>
            </w:r>
          </w:p>
        </w:tc>
        <w:tc>
          <w:tcPr>
            <w:tcW w:type="dxa" w:w="1440"/>
          </w:tcPr>
          <w:p>
            <w:pPr>
              <w:keepNext/>
            </w:pPr>
            <w:r>
              <w:rPr>
                <w:b w:val="0"/>
                <w:i w:val="0"/>
                <w:color w:val="1C5CAB"/>
                <w:sz w:val="16"/>
              </w:rPr>
              <w:t>Rise</w:t>
            </w:r>
          </w:p>
        </w:tc>
        <w:tc>
          <w:tcPr>
            <w:tcW w:type="dxa" w:w="1008"/>
          </w:tcPr>
          <w:p>
            <w:pPr>
              <w:keepNext/>
              <w:jc w:val="right"/>
            </w:pPr>
            <w:r>
              <w:rPr>
                <w:b w:val="0"/>
                <w:i w:val="0"/>
                <w:sz w:val="16"/>
              </w:rPr>
              <w:t>50%</w:t>
            </w:r>
          </w:p>
        </w:tc>
        <w:tc>
          <w:tcPr>
            <w:tcW w:type="dxa" w:w="2016"/>
            <w:shd w:val="clear" w:color="auto" w:fill="E4F3E4"/>
          </w:tcPr>
          <w:p>
            <w:pPr>
              <w:keepNext/>
            </w:pPr>
            <w:r>
              <w:rPr>
                <w:b/>
                <w:i w:val="0"/>
                <w:color w:val="0A6E0A"/>
                <w:sz w:val="16"/>
              </w:rPr>
              <w:t>+12 pts ✓</w:t>
            </w:r>
          </w:p>
        </w:tc>
      </w:tr>
      <w:tr>
        <w:tc>
          <w:tcPr>
            <w:tcW w:type="dxa" w:w="2664"/>
            <w:shd w:val="clear" w:color="auto" w:fill="F7F7F5"/>
          </w:tcPr>
          <w:p>
            <w:pPr>
              <w:keepNext/>
            </w:pPr>
            <w:r>
              <w:rPr>
                <w:b w:val="0"/>
                <w:i w:val="0"/>
                <w:sz w:val="16"/>
              </w:rPr>
              <w:t>UOB</w:t>
            </w:r>
          </w:p>
        </w:tc>
        <w:tc>
          <w:tcPr>
            <w:tcW w:type="dxa" w:w="1368"/>
            <w:shd w:val="clear" w:color="auto" w:fill="F7F7F5"/>
          </w:tcPr>
          <w:p>
            <w:pPr>
              <w:keepNext/>
              <w:jc w:val="right"/>
            </w:pPr>
            <w:r>
              <w:rPr>
                <w:b w:val="0"/>
                <w:i w:val="0"/>
                <w:sz w:val="16"/>
              </w:rPr>
              <w:t>±1.7%</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1C5CAB"/>
                <w:sz w:val="16"/>
              </w:rPr>
              <w:t>Rise</w:t>
            </w:r>
          </w:p>
        </w:tc>
        <w:tc>
          <w:tcPr>
            <w:tcW w:type="dxa" w:w="1008"/>
            <w:shd w:val="clear" w:color="auto" w:fill="F7F7F5"/>
          </w:tcPr>
          <w:p>
            <w:pPr>
              <w:keepNext/>
              <w:jc w:val="right"/>
            </w:pPr>
            <w:r>
              <w:rPr>
                <w:b w:val="0"/>
                <w:i w:val="0"/>
                <w:sz w:val="16"/>
              </w:rPr>
              <w:t>58%</w:t>
            </w:r>
          </w:p>
        </w:tc>
        <w:tc>
          <w:tcPr>
            <w:tcW w:type="dxa" w:w="2016"/>
            <w:shd w:val="clear" w:color="auto" w:fill="FBE1E0"/>
          </w:tcPr>
          <w:p>
            <w:pPr>
              <w:keepNext/>
            </w:pPr>
            <w:r>
              <w:rPr>
                <w:b/>
                <w:i w:val="0"/>
                <w:color w:val="A12D2C"/>
                <w:sz w:val="16"/>
              </w:rPr>
              <w:t>−50 pts ✗</w:t>
            </w:r>
          </w:p>
        </w:tc>
      </w:tr>
      <w:tr>
        <w:tc>
          <w:tcPr>
            <w:tcW w:type="dxa" w:w="2664"/>
          </w:tcPr>
          <w:p>
            <w:pPr>
              <w:keepNext/>
            </w:pPr>
            <w:r>
              <w:rPr>
                <w:b w:val="0"/>
                <w:i w:val="0"/>
                <w:sz w:val="16"/>
              </w:rPr>
              <w:t>ComfortDelGro</w:t>
            </w:r>
          </w:p>
        </w:tc>
        <w:tc>
          <w:tcPr>
            <w:tcW w:type="dxa" w:w="1368"/>
          </w:tcPr>
          <w:p>
            <w:pPr>
              <w:keepNext/>
              <w:jc w:val="right"/>
            </w:pPr>
            <w:r>
              <w:rPr>
                <w:b w:val="0"/>
                <w:i w:val="0"/>
                <w:sz w:val="16"/>
              </w:rPr>
              <w:t>±1.8%</w:t>
            </w:r>
          </w:p>
        </w:tc>
        <w:tc>
          <w:tcPr>
            <w:tcW w:type="dxa" w:w="1440"/>
          </w:tcPr>
          <w:p>
            <w:pPr>
              <w:keepNext/>
            </w:pPr>
            <w:r>
              <w:rPr>
                <w:b w:val="0"/>
                <w:i w:val="0"/>
                <w:sz w:val="16"/>
              </w:rPr>
            </w:r>
          </w:p>
        </w:tc>
        <w:tc>
          <w:tcPr>
            <w:tcW w:type="dxa" w:w="1440"/>
          </w:tcPr>
          <w:p>
            <w:pPr>
              <w:keepNext/>
            </w:pPr>
            <w:r>
              <w:rPr>
                <w:b w:val="0"/>
                <w:i w:val="0"/>
                <w:color w:val="52514E"/>
                <w:sz w:val="16"/>
              </w:rPr>
              <w:t>No big move</w:t>
            </w:r>
          </w:p>
        </w:tc>
        <w:tc>
          <w:tcPr>
            <w:tcW w:type="dxa" w:w="1008"/>
          </w:tcPr>
          <w:p>
            <w:pPr>
              <w:keepNext/>
              <w:jc w:val="right"/>
            </w:pPr>
            <w:r>
              <w:rPr>
                <w:b w:val="0"/>
                <w:i w:val="0"/>
                <w:sz w:val="16"/>
              </w:rPr>
              <w:t>51%</w:t>
            </w:r>
          </w:p>
        </w:tc>
        <w:tc>
          <w:tcPr>
            <w:tcW w:type="dxa" w:w="2016"/>
            <w:shd w:val="clear" w:color="auto" w:fill="FBE1E0"/>
          </w:tcPr>
          <w:p>
            <w:pPr>
              <w:keepNext/>
            </w:pPr>
            <w:r>
              <w:rPr>
                <w:b/>
                <w:i w:val="0"/>
                <w:color w:val="A12D2C"/>
                <w:sz w:val="16"/>
              </w:rPr>
              <w:t>−25 pts ✗</w:t>
            </w:r>
          </w:p>
        </w:tc>
      </w:tr>
      <w:tr>
        <w:tc>
          <w:tcPr>
            <w:tcW w:type="dxa" w:w="2664"/>
            <w:shd w:val="clear" w:color="auto" w:fill="F7F7F5"/>
          </w:tcPr>
          <w:p>
            <w:pPr>
              <w:keepNext/>
            </w:pPr>
            <w:r>
              <w:rPr>
                <w:b w:val="0"/>
                <w:i w:val="0"/>
                <w:sz w:val="16"/>
              </w:rPr>
              <w:t>DBS Group</w:t>
            </w:r>
          </w:p>
        </w:tc>
        <w:tc>
          <w:tcPr>
            <w:tcW w:type="dxa" w:w="1368"/>
            <w:shd w:val="clear" w:color="auto" w:fill="F7F7F5"/>
          </w:tcPr>
          <w:p>
            <w:pPr>
              <w:keepNext/>
              <w:jc w:val="right"/>
            </w:pPr>
            <w:r>
              <w:rPr>
                <w:b w:val="0"/>
                <w:i w:val="0"/>
                <w:sz w:val="16"/>
              </w:rPr>
              <w:t>±1.8%</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1C5CAB"/>
                <w:sz w:val="16"/>
              </w:rPr>
              <w:t>Rise</w:t>
            </w:r>
          </w:p>
        </w:tc>
        <w:tc>
          <w:tcPr>
            <w:tcW w:type="dxa" w:w="1008"/>
            <w:shd w:val="clear" w:color="auto" w:fill="F7F7F5"/>
          </w:tcPr>
          <w:p>
            <w:pPr>
              <w:keepNext/>
              <w:jc w:val="right"/>
            </w:pPr>
            <w:r>
              <w:rPr>
                <w:b w:val="0"/>
                <w:i w:val="0"/>
                <w:sz w:val="16"/>
              </w:rPr>
              <w:t>58%</w:t>
            </w:r>
          </w:p>
        </w:tc>
        <w:tc>
          <w:tcPr>
            <w:tcW w:type="dxa" w:w="2016"/>
            <w:shd w:val="clear" w:color="auto" w:fill="E4F3E4"/>
          </w:tcPr>
          <w:p>
            <w:pPr>
              <w:keepNext/>
            </w:pPr>
            <w:r>
              <w:rPr>
                <w:b/>
                <w:i w:val="0"/>
                <w:color w:val="0A6E0A"/>
                <w:sz w:val="16"/>
              </w:rPr>
              <w:t>±0 pts ✓</w:t>
            </w:r>
          </w:p>
        </w:tc>
      </w:tr>
      <w:tr>
        <w:tc>
          <w:tcPr>
            <w:tcW w:type="dxa" w:w="2664"/>
          </w:tcPr>
          <w:p>
            <w:pPr>
              <w:keepNext/>
            </w:pPr>
            <w:r>
              <w:rPr>
                <w:b w:val="0"/>
                <w:i w:val="0"/>
                <w:sz w:val="16"/>
              </w:rPr>
              <w:t>Keppel Corp</w:t>
            </w:r>
          </w:p>
        </w:tc>
        <w:tc>
          <w:tcPr>
            <w:tcW w:type="dxa" w:w="1368"/>
          </w:tcPr>
          <w:p>
            <w:pPr>
              <w:keepNext/>
              <w:jc w:val="right"/>
            </w:pPr>
            <w:r>
              <w:rPr>
                <w:b w:val="0"/>
                <w:i w:val="0"/>
                <w:sz w:val="16"/>
              </w:rPr>
              <w:t>±1.9%</w:t>
            </w:r>
          </w:p>
        </w:tc>
        <w:tc>
          <w:tcPr>
            <w:tcW w:type="dxa" w:w="1440"/>
          </w:tcPr>
          <w:p>
            <w:pPr>
              <w:keepNext/>
            </w:pPr>
            <w:r>
              <w:rPr>
                <w:b w:val="0"/>
                <w:i w:val="0"/>
                <w:sz w:val="16"/>
              </w:rPr>
            </w:r>
          </w:p>
        </w:tc>
        <w:tc>
          <w:tcPr>
            <w:tcW w:type="dxa" w:w="1440"/>
          </w:tcPr>
          <w:p>
            <w:pPr>
              <w:keepNext/>
            </w:pPr>
            <w:r>
              <w:rPr>
                <w:b w:val="0"/>
                <w:i w:val="0"/>
                <w:color w:val="52514E"/>
                <w:sz w:val="16"/>
              </w:rPr>
              <w:t>No big move</w:t>
            </w:r>
          </w:p>
        </w:tc>
        <w:tc>
          <w:tcPr>
            <w:tcW w:type="dxa" w:w="1008"/>
          </w:tcPr>
          <w:p>
            <w:pPr>
              <w:keepNext/>
              <w:jc w:val="right"/>
            </w:pPr>
            <w:r>
              <w:rPr>
                <w:b w:val="0"/>
                <w:i w:val="0"/>
                <w:sz w:val="16"/>
              </w:rPr>
              <w:t>51%</w:t>
            </w:r>
          </w:p>
        </w:tc>
        <w:tc>
          <w:tcPr>
            <w:tcW w:type="dxa" w:w="2016"/>
            <w:shd w:val="clear" w:color="auto" w:fill="FBE1E0"/>
          </w:tcPr>
          <w:p>
            <w:pPr>
              <w:keepNext/>
            </w:pPr>
            <w:r>
              <w:rPr>
                <w:b/>
                <w:i w:val="0"/>
                <w:color w:val="A12D2C"/>
                <w:sz w:val="16"/>
              </w:rPr>
              <w:t>−12 pts ✗</w:t>
            </w:r>
          </w:p>
        </w:tc>
      </w:tr>
      <w:tr>
        <w:tc>
          <w:tcPr>
            <w:tcW w:type="dxa" w:w="2664"/>
            <w:shd w:val="clear" w:color="auto" w:fill="F7F7F5"/>
          </w:tcPr>
          <w:p>
            <w:pPr>
              <w:keepNext/>
            </w:pPr>
            <w:r>
              <w:rPr>
                <w:b w:val="0"/>
                <w:i w:val="0"/>
                <w:sz w:val="16"/>
              </w:rPr>
              <w:t>SGX Group</w:t>
            </w:r>
          </w:p>
        </w:tc>
        <w:tc>
          <w:tcPr>
            <w:tcW w:type="dxa" w:w="1368"/>
            <w:shd w:val="clear" w:color="auto" w:fill="F7F7F5"/>
          </w:tcPr>
          <w:p>
            <w:pPr>
              <w:keepNext/>
              <w:jc w:val="right"/>
            </w:pPr>
            <w:r>
              <w:rPr>
                <w:b w:val="0"/>
                <w:i w:val="0"/>
                <w:sz w:val="16"/>
              </w:rPr>
              <w:t>±2.1%</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1C5CAB"/>
                <w:sz w:val="16"/>
              </w:rPr>
              <w:t>Rise</w:t>
            </w:r>
          </w:p>
        </w:tc>
        <w:tc>
          <w:tcPr>
            <w:tcW w:type="dxa" w:w="1008"/>
            <w:shd w:val="clear" w:color="auto" w:fill="F7F7F5"/>
          </w:tcPr>
          <w:p>
            <w:pPr>
              <w:keepNext/>
              <w:jc w:val="right"/>
            </w:pPr>
            <w:r>
              <w:rPr>
                <w:b w:val="0"/>
                <w:i w:val="0"/>
                <w:sz w:val="16"/>
              </w:rPr>
              <w:t>61%</w:t>
            </w:r>
          </w:p>
        </w:tc>
        <w:tc>
          <w:tcPr>
            <w:tcW w:type="dxa" w:w="2016"/>
            <w:shd w:val="clear" w:color="auto" w:fill="FBE1E0"/>
          </w:tcPr>
          <w:p>
            <w:pPr>
              <w:keepNext/>
            </w:pPr>
            <w:r>
              <w:rPr>
                <w:b/>
                <w:i w:val="0"/>
                <w:color w:val="A12D2C"/>
                <w:sz w:val="16"/>
              </w:rPr>
              <w:t>−12 pts ✗</w:t>
            </w:r>
          </w:p>
        </w:tc>
      </w:tr>
      <w:tr>
        <w:tc>
          <w:tcPr>
            <w:tcW w:type="dxa" w:w="2664"/>
          </w:tcPr>
          <w:p>
            <w:pPr>
              <w:keepNext/>
            </w:pPr>
            <w:r>
              <w:rPr>
                <w:b w:val="0"/>
                <w:i w:val="0"/>
                <w:sz w:val="16"/>
              </w:rPr>
              <w:t>Singtel</w:t>
            </w:r>
          </w:p>
        </w:tc>
        <w:tc>
          <w:tcPr>
            <w:tcW w:type="dxa" w:w="1368"/>
          </w:tcPr>
          <w:p>
            <w:pPr>
              <w:keepNext/>
              <w:jc w:val="right"/>
            </w:pPr>
            <w:r>
              <w:rPr>
                <w:b w:val="0"/>
                <w:i w:val="0"/>
                <w:sz w:val="16"/>
              </w:rPr>
              <w:t>±2.3%</w:t>
            </w:r>
          </w:p>
        </w:tc>
        <w:tc>
          <w:tcPr>
            <w:tcW w:type="dxa" w:w="1440"/>
            <w:shd w:val="clear" w:color="auto" w:fill="DCEAFB"/>
          </w:tcPr>
          <w:p>
            <w:pPr>
              <w:keepNext/>
            </w:pPr>
            <w:r>
              <w:rPr>
                <w:b/>
                <w:i w:val="0"/>
                <w:color w:val="1C5CAB"/>
                <w:sz w:val="16"/>
              </w:rPr>
              <w:t>✓ calmer</w:t>
            </w:r>
          </w:p>
        </w:tc>
        <w:tc>
          <w:tcPr>
            <w:tcW w:type="dxa" w:w="1440"/>
          </w:tcPr>
          <w:p>
            <w:pPr>
              <w:keepNext/>
            </w:pPr>
            <w:r>
              <w:rPr>
                <w:b w:val="0"/>
                <w:i w:val="0"/>
                <w:color w:val="52514E"/>
                <w:sz w:val="16"/>
              </w:rPr>
              <w:t>No big move</w:t>
            </w:r>
          </w:p>
        </w:tc>
        <w:tc>
          <w:tcPr>
            <w:tcW w:type="dxa" w:w="1008"/>
          </w:tcPr>
          <w:p>
            <w:pPr>
              <w:keepNext/>
              <w:jc w:val="right"/>
            </w:pPr>
            <w:r>
              <w:rPr>
                <w:b w:val="0"/>
                <w:i w:val="0"/>
                <w:sz w:val="16"/>
              </w:rPr>
              <w:t>77%</w:t>
            </w:r>
          </w:p>
        </w:tc>
        <w:tc>
          <w:tcPr>
            <w:tcW w:type="dxa" w:w="2016"/>
            <w:shd w:val="clear" w:color="auto" w:fill="FBE1E0"/>
          </w:tcPr>
          <w:p>
            <w:pPr>
              <w:keepNext/>
            </w:pPr>
            <w:r>
              <w:rPr>
                <w:b/>
                <w:i w:val="0"/>
                <w:color w:val="A12D2C"/>
                <w:sz w:val="16"/>
              </w:rPr>
              <w:t>−62 pts ✗</w:t>
            </w:r>
          </w:p>
        </w:tc>
      </w:tr>
      <w:tr>
        <w:tc>
          <w:tcPr>
            <w:tcW w:type="dxa" w:w="2664"/>
            <w:shd w:val="clear" w:color="auto" w:fill="F7F7F5"/>
          </w:tcPr>
          <w:p>
            <w:pPr>
              <w:keepNext/>
            </w:pPr>
            <w:r>
              <w:rPr>
                <w:b w:val="0"/>
                <w:i w:val="0"/>
                <w:sz w:val="16"/>
              </w:rPr>
              <w:t>OCBC Bank</w:t>
            </w:r>
          </w:p>
        </w:tc>
        <w:tc>
          <w:tcPr>
            <w:tcW w:type="dxa" w:w="1368"/>
            <w:shd w:val="clear" w:color="auto" w:fill="F7F7F5"/>
          </w:tcPr>
          <w:p>
            <w:pPr>
              <w:keepNext/>
              <w:jc w:val="right"/>
            </w:pPr>
            <w:r>
              <w:rPr>
                <w:b w:val="0"/>
                <w:i w:val="0"/>
                <w:sz w:val="16"/>
              </w:rPr>
              <w:t>±2.5%</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1C5CAB"/>
                <w:sz w:val="16"/>
              </w:rPr>
              <w:t>Rise</w:t>
            </w:r>
          </w:p>
        </w:tc>
        <w:tc>
          <w:tcPr>
            <w:tcW w:type="dxa" w:w="1008"/>
            <w:shd w:val="clear" w:color="auto" w:fill="F7F7F5"/>
          </w:tcPr>
          <w:p>
            <w:pPr>
              <w:keepNext/>
              <w:jc w:val="right"/>
            </w:pPr>
            <w:r>
              <w:rPr>
                <w:b w:val="0"/>
                <w:i w:val="0"/>
                <w:sz w:val="16"/>
              </w:rPr>
              <w:t>51%</w:t>
            </w:r>
          </w:p>
        </w:tc>
        <w:tc>
          <w:tcPr>
            <w:tcW w:type="dxa" w:w="2016"/>
            <w:shd w:val="clear" w:color="auto" w:fill="FBE1E0"/>
          </w:tcPr>
          <w:p>
            <w:pPr>
              <w:keepNext/>
            </w:pPr>
            <w:r>
              <w:rPr>
                <w:b/>
                <w:i w:val="0"/>
                <w:color w:val="A12D2C"/>
                <w:sz w:val="16"/>
              </w:rPr>
              <w:t>−12 pts ✗</w:t>
            </w:r>
          </w:p>
        </w:tc>
      </w:tr>
      <w:tr>
        <w:tc>
          <w:tcPr>
            <w:tcW w:type="dxa" w:w="2664"/>
          </w:tcPr>
          <w:p>
            <w:pPr>
              <w:keepNext/>
            </w:pPr>
            <w:r>
              <w:rPr>
                <w:b w:val="0"/>
                <w:i w:val="0"/>
                <w:sz w:val="16"/>
              </w:rPr>
              <w:t>Sembcorp Industries</w:t>
            </w:r>
          </w:p>
        </w:tc>
        <w:tc>
          <w:tcPr>
            <w:tcW w:type="dxa" w:w="1368"/>
          </w:tcPr>
          <w:p>
            <w:pPr>
              <w:keepNext/>
              <w:jc w:val="right"/>
            </w:pPr>
            <w:r>
              <w:rPr>
                <w:b w:val="0"/>
                <w:i w:val="0"/>
                <w:sz w:val="16"/>
              </w:rPr>
              <w:t>±2.7%</w:t>
            </w:r>
          </w:p>
        </w:tc>
        <w:tc>
          <w:tcPr>
            <w:tcW w:type="dxa" w:w="1440"/>
          </w:tcPr>
          <w:p>
            <w:pPr>
              <w:keepNext/>
            </w:pPr>
            <w:r>
              <w:rPr>
                <w:b w:val="0"/>
                <w:i w:val="0"/>
                <w:sz w:val="16"/>
              </w:rPr>
            </w:r>
          </w:p>
        </w:tc>
        <w:tc>
          <w:tcPr>
            <w:tcW w:type="dxa" w:w="1440"/>
          </w:tcPr>
          <w:p>
            <w:pPr>
              <w:keepNext/>
            </w:pPr>
            <w:r>
              <w:rPr>
                <w:b w:val="0"/>
                <w:i w:val="0"/>
                <w:color w:val="52514E"/>
                <w:sz w:val="16"/>
              </w:rPr>
              <w:t>No big move</w:t>
            </w:r>
          </w:p>
        </w:tc>
        <w:tc>
          <w:tcPr>
            <w:tcW w:type="dxa" w:w="1008"/>
          </w:tcPr>
          <w:p>
            <w:pPr>
              <w:keepNext/>
              <w:jc w:val="right"/>
            </w:pPr>
            <w:r>
              <w:rPr>
                <w:b w:val="0"/>
                <w:i w:val="0"/>
                <w:sz w:val="16"/>
              </w:rPr>
              <w:t>55%</w:t>
            </w:r>
          </w:p>
        </w:tc>
        <w:tc>
          <w:tcPr>
            <w:tcW w:type="dxa" w:w="2016"/>
            <w:shd w:val="clear" w:color="auto" w:fill="FBE1E0"/>
          </w:tcPr>
          <w:p>
            <w:pPr>
              <w:keepNext/>
            </w:pPr>
            <w:r>
              <w:rPr>
                <w:b/>
                <w:i w:val="0"/>
                <w:color w:val="A12D2C"/>
                <w:sz w:val="16"/>
              </w:rPr>
              <w:t>−12 pts ✗</w:t>
            </w:r>
          </w:p>
        </w:tc>
      </w:tr>
      <w:tr>
        <w:tc>
          <w:tcPr>
            <w:tcW w:type="dxa" w:w="2664"/>
            <w:shd w:val="clear" w:color="auto" w:fill="F7F7F5"/>
          </w:tcPr>
          <w:p>
            <w:pPr>
              <w:keepNext/>
            </w:pPr>
            <w:r>
              <w:rPr>
                <w:b w:val="0"/>
                <w:i w:val="0"/>
                <w:sz w:val="16"/>
              </w:rPr>
              <w:t>ST Engineering</w:t>
            </w:r>
          </w:p>
        </w:tc>
        <w:tc>
          <w:tcPr>
            <w:tcW w:type="dxa" w:w="1368"/>
            <w:shd w:val="clear" w:color="auto" w:fill="F7F7F5"/>
          </w:tcPr>
          <w:p>
            <w:pPr>
              <w:keepNext/>
              <w:jc w:val="right"/>
            </w:pPr>
            <w:r>
              <w:rPr>
                <w:b w:val="0"/>
                <w:i w:val="0"/>
                <w:sz w:val="16"/>
              </w:rPr>
              <w:t>±2.9%</w:t>
            </w:r>
          </w:p>
        </w:tc>
        <w:tc>
          <w:tcPr>
            <w:tcW w:type="dxa" w:w="1440"/>
            <w:shd w:val="clear" w:color="auto" w:fill="DCEAFB"/>
          </w:tcPr>
          <w:p>
            <w:pPr>
              <w:keepNext/>
            </w:pPr>
            <w:r>
              <w:rPr>
                <w:b/>
                <w:i w:val="0"/>
                <w:color w:val="1C5CAB"/>
                <w:sz w:val="16"/>
              </w:rPr>
              <w:t>✓ calmer</w:t>
            </w:r>
          </w:p>
        </w:tc>
        <w:tc>
          <w:tcPr>
            <w:tcW w:type="dxa" w:w="1440"/>
            <w:shd w:val="clear" w:color="auto" w:fill="F7F7F5"/>
          </w:tcPr>
          <w:p>
            <w:pPr>
              <w:keepNext/>
            </w:pPr>
            <w:r>
              <w:rPr>
                <w:b w:val="0"/>
                <w:i w:val="0"/>
                <w:color w:val="52514E"/>
                <w:sz w:val="16"/>
              </w:rPr>
              <w:t>No big move</w:t>
            </w:r>
          </w:p>
        </w:tc>
        <w:tc>
          <w:tcPr>
            <w:tcW w:type="dxa" w:w="1008"/>
            <w:shd w:val="clear" w:color="auto" w:fill="F7F7F5"/>
          </w:tcPr>
          <w:p>
            <w:pPr>
              <w:keepNext/>
              <w:jc w:val="right"/>
            </w:pPr>
            <w:r>
              <w:rPr>
                <w:b w:val="0"/>
                <w:i w:val="0"/>
                <w:sz w:val="16"/>
              </w:rPr>
              <w:t>57%</w:t>
            </w:r>
          </w:p>
        </w:tc>
        <w:tc>
          <w:tcPr>
            <w:tcW w:type="dxa" w:w="2016"/>
            <w:shd w:val="clear" w:color="auto" w:fill="E4F3E4"/>
          </w:tcPr>
          <w:p>
            <w:pPr>
              <w:keepNext/>
            </w:pPr>
            <w:r>
              <w:rPr>
                <w:b/>
                <w:i w:val="0"/>
                <w:color w:val="0A6E0A"/>
                <w:sz w:val="16"/>
              </w:rPr>
              <w:t>+50 pts ✓</w:t>
            </w:r>
          </w:p>
        </w:tc>
      </w:tr>
      <w:tr>
        <w:tc>
          <w:tcPr>
            <w:tcW w:type="dxa" w:w="2664"/>
          </w:tcPr>
          <w:p>
            <w:r>
              <w:rPr>
                <w:b w:val="0"/>
                <w:i w:val="0"/>
                <w:sz w:val="16"/>
              </w:rPr>
              <w:t>Wilmar Intl</w:t>
            </w:r>
          </w:p>
        </w:tc>
        <w:tc>
          <w:tcPr>
            <w:tcW w:type="dxa" w:w="1368"/>
          </w:tcPr>
          <w:p>
            <w:pPr>
              <w:jc w:val="right"/>
            </w:pPr>
            <w:r>
              <w:rPr>
                <w:b w:val="0"/>
                <w:i w:val="0"/>
                <w:sz w:val="16"/>
              </w:rPr>
              <w:t>±3.0%</w:t>
            </w:r>
          </w:p>
        </w:tc>
        <w:tc>
          <w:tcPr>
            <w:tcW w:type="dxa" w:w="1440"/>
          </w:tcPr>
          <w:p>
            <w:r>
              <w:rPr>
                <w:b w:val="0"/>
                <w:i w:val="0"/>
                <w:sz w:val="16"/>
              </w:rPr>
            </w:r>
          </w:p>
        </w:tc>
        <w:tc>
          <w:tcPr>
            <w:tcW w:type="dxa" w:w="1440"/>
          </w:tcPr>
          <w:p>
            <w:r>
              <w:rPr>
                <w:b w:val="0"/>
                <w:i w:val="0"/>
                <w:color w:val="52514E"/>
                <w:sz w:val="16"/>
              </w:rPr>
              <w:t>No big move</w:t>
            </w:r>
          </w:p>
        </w:tc>
        <w:tc>
          <w:tcPr>
            <w:tcW w:type="dxa" w:w="1008"/>
          </w:tcPr>
          <w:p>
            <w:pPr>
              <w:jc w:val="right"/>
            </w:pPr>
            <w:r>
              <w:rPr>
                <w:b w:val="0"/>
                <w:i w:val="0"/>
                <w:sz w:val="16"/>
              </w:rPr>
              <w:t>50%</w:t>
            </w:r>
          </w:p>
        </w:tc>
        <w:tc>
          <w:tcPr>
            <w:tcW w:type="dxa" w:w="2016"/>
            <w:shd w:val="clear" w:color="auto" w:fill="E4F3E4"/>
          </w:tcPr>
          <w:p>
            <w:r>
              <w:rPr>
                <w:b/>
                <w:i w:val="0"/>
                <w:color w:val="0A6E0A"/>
                <w:sz w:val="16"/>
              </w:rPr>
              <w:t>+38 pts ✓</w:t>
            </w:r>
          </w:p>
        </w:tc>
      </w:tr>
    </w:tbl>
    <w:p>
      <w:pPr>
        <w:spacing w:after="40"/>
      </w:pPr>
      <w:r>
        <w:rPr>
          <w:b w:val="0"/>
          <w:i w:val="0"/>
          <w:color w:val="52514E"/>
          <w:sz w:val="14"/>
        </w:rPr>
        <w:t>Normal 3-day swing: about 2 times in 3 the 3-day change stays inside it (last 20 trading days). Calmer than most: the five highest chances of no big move. Forecast lean: the model's most likely 3-day outcome (rise above +1.04%, fall below −1.04%, otherwise no big move) and the probability it gave. Record vs simple rule: percentage points more (or fewer) of its calls on this stock that were right over the last 30 days than always guessing the stock's most common past outcome; ✓ no more than 5 points behind, ✗ further behind. Sorted calmest first.</w:t>
      </w:r>
    </w:p>
    <w:p>
      <w:pPr>
        <w:keepNext/>
        <w:spacing w:before="120" w:after="20"/>
      </w:pPr>
      <w:r>
        <w:rPr>
          <w:b/>
          <w:i w:val="0"/>
          <w:color w:val="1A2E55"/>
          <w:sz w:val="21"/>
        </w:rPr>
        <w:t>What these numbers are worth</w:t>
      </w:r>
    </w:p>
    <w:p>
      <w:pPr>
        <w:pStyle w:val="ListBullet"/>
        <w:spacing w:after="40"/>
      </w:pPr>
      <w:r>
        <w:rPr>
          <w:b/>
          <w:i w:val="0"/>
          <w:color w:val="1A2E55"/>
          <w:sz w:val="17"/>
        </w:rPr>
        <w:t xml:space="preserve">Normal 3-day swing. </w:t>
      </w:r>
      <w:r>
        <w:rPr>
          <w:b w:val="0"/>
          <w:i w:val="0"/>
          <w:sz w:val="17"/>
        </w:rPr>
        <w:t>Held 74% of the time in 420 tests (about 68% expected). Use it as a yardstick: a 3-day move bigger than a stock's swing is unusual for that stock and worth checking the news for; it is not a signal by itself.</w:t>
      </w:r>
    </w:p>
    <w:p>
      <w:pPr>
        <w:pStyle w:val="ListBullet"/>
        <w:spacing w:after="40"/>
      </w:pPr>
      <w:r>
        <w:rPr>
          <w:b/>
          <w:i w:val="0"/>
          <w:color w:val="1A2E55"/>
          <w:sz w:val="17"/>
        </w:rPr>
        <w:t xml:space="preserve">Calmer than most. </w:t>
      </w:r>
      <w:r>
        <w:rPr>
          <w:b w:val="0"/>
          <w:i w:val="0"/>
          <w:sz w:val="17"/>
        </w:rPr>
        <w:t>Ascendas REIT, Mapletree Pan Asia Comm. Trust, Singtel, Raffles Medical Group and ST Engineering: the five with the highest chance of no big move. In tests over 31 trading days, the five picked this way moved more than 1% about 4 in 10 times, the other ten about 6 in 10 times. If you prefer less day-to-day movement, these have moved least often.</w:t>
      </w:r>
    </w:p>
    <w:p>
      <w:pPr>
        <w:pStyle w:val="ListBullet"/>
        <w:spacing w:after="40"/>
      </w:pPr>
      <w:r>
        <w:rPr>
          <w:b/>
          <w:i w:val="0"/>
          <w:color w:val="1A2E55"/>
          <w:sz w:val="17"/>
        </w:rPr>
        <w:t xml:space="preserve">Up-or-down lean. </w:t>
      </w:r>
      <w:r>
        <w:rPr>
          <w:b w:val="0"/>
          <w:i w:val="0"/>
          <w:sz w:val="17"/>
        </w:rPr>
        <w:t>Not reliable: right 45% of 120 past calls, against 59% for always guessing 'no big move'. Calls marked ✓ were right 49%, the rest 37%, but the gain is in 'no big move' calls (62% right); ✓ rise-or-fall calls were right only 29% of 34, so a ✓ never makes a direction likely. Before its probabilities were refitted, chances of 90% or more were right only 46% of the time.</w:t>
      </w:r>
    </w:p>
    <w:p>
      <w:pPr>
        <w:keepNext/>
        <w:pageBreakBefore/>
        <w:spacing w:before="0" w:after="40"/>
        <w:pBdr>
          <w:bottom w:val="single" w:sz="6" w:space="2" w:color="CDE2FB"/>
        </w:pBdr>
      </w:pPr>
      <w:r>
        <w:rPr>
          <w:b/>
          <w:i w:val="0"/>
          <w:color w:val="1A2E55"/>
          <w:sz w:val="26"/>
        </w:rPr>
        <w:t>4 · The system behind this report</w:t>
      </w:r>
    </w:p>
    <w:p>
      <w:pPr>
        <w:keepNext/>
      </w:pPr>
      <w:r>
        <w:rPr>
          <w:b w:val="0"/>
          <w:i w:val="0"/>
          <w:color w:val="52514E"/>
          <w:sz w:val="17"/>
        </w:rPr>
        <w:t>Four stages run in sequence after every close. Every number on the pages above comes from one of them; nothing is written by hand.</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35" w:type="dxa"/>
          <w:bottom w:w="35" w:type="dxa"/>
          <w:left w:w="70" w:type="dxa"/>
          <w:right w:w="70" w:type="dxa"/>
        </w:tblCellMar>
      </w:tblPr>
      <w:tblGrid>
        <w:gridCol w:w="1872"/>
        <w:gridCol w:w="8064"/>
      </w:tblGrid>
      <w:tr>
        <w:tc>
          <w:tcPr>
            <w:tcW w:type="dxa" w:w="1872"/>
            <w:shd w:val="clear" w:color="auto" w:fill="1A2E55"/>
          </w:tcPr>
          <w:p>
            <w:r>
              <w:rPr>
                <w:b/>
                <w:i w:val="0"/>
                <w:color w:val="FFFFFF"/>
                <w:sz w:val="15"/>
              </w:rPr>
              <w:t>Stage</w:t>
            </w:r>
          </w:p>
        </w:tc>
        <w:tc>
          <w:tcPr>
            <w:tcW w:type="dxa" w:w="8064"/>
            <w:shd w:val="clear" w:color="auto" w:fill="1A2E55"/>
          </w:tcPr>
          <w:p>
            <w:r>
              <w:rPr>
                <w:b/>
                <w:i w:val="0"/>
                <w:color w:val="FFFFFF"/>
                <w:sz w:val="15"/>
              </w:rPr>
              <w:t>What it does for this report</w:t>
            </w:r>
          </w:p>
        </w:tc>
      </w:tr>
      <w:tr>
        <w:tc>
          <w:tcPr>
            <w:tcW w:type="dxa" w:w="1872"/>
          </w:tcPr>
          <w:p>
            <w:r>
              <w:rPr>
                <w:b/>
                <w:i w:val="0"/>
                <w:sz w:val="16"/>
              </w:rPr>
              <w:t>1 · Collect the day's facts</w:t>
            </w:r>
          </w:p>
        </w:tc>
        <w:tc>
          <w:tcPr>
            <w:tcW w:type="dxa" w:w="8064"/>
          </w:tcPr>
          <w:p>
            <w:r>
              <w:rPr>
                <w:b w:val="0"/>
                <w:i w:val="0"/>
                <w:sz w:val="16"/>
              </w:rPr>
              <w:t>Today's raw facts. 471 company news articles (each read as positive, negative or neutral by FinBERT, a finance language model) and 72 political articles; price-chart indicators (RSI, MACD, Bollinger bands, VWAP, weekly trend); the market backdrop (VIX 15.2, US yield spread); Singapore ETF options positioning (put/call 0.19).</w:t>
            </w:r>
          </w:p>
        </w:tc>
      </w:tr>
      <w:tr>
        <w:tc>
          <w:tcPr>
            <w:tcW w:type="dxa" w:w="1872"/>
            <w:shd w:val="clear" w:color="auto" w:fill="F7F7F5"/>
          </w:tcPr>
          <w:p>
            <w:r>
              <w:rPr>
                <w:b/>
                <w:i w:val="0"/>
                <w:sz w:val="16"/>
              </w:rPr>
              <w:t>2 · Read the news and signals</w:t>
            </w:r>
          </w:p>
        </w:tc>
        <w:tc>
          <w:tcPr>
            <w:tcW w:type="dxa" w:w="8064"/>
            <w:shd w:val="clear" w:color="auto" w:fill="F7F7F5"/>
          </w:tcPr>
          <w:p>
            <w:r>
              <w:rPr>
                <w:b w:val="0"/>
                <w:i w:val="0"/>
                <w:sz w:val="16"/>
              </w:rPr>
              <w:t>What the news and indicators say on top of the price itself: one reading per stock (sections 1–2), built in four layers. (1) Weighted rules score the day's evidence — the scores and rules on the cards. (2) Two independent machine-learning models re-read the same inputs as a second opinion. (3) A contradiction check compares all layers and flags internally mixed readings (named on the cards when strongly mixed). (4) An AI writer (an open-source model served by Groq) drafts the news summary; it may only phrase what the rules computed, and a summary that fails the checks is replaced by a fixed template.</w:t>
            </w:r>
          </w:p>
        </w:tc>
      </w:tr>
      <w:tr>
        <w:tc>
          <w:tcPr>
            <w:tcW w:type="dxa" w:w="1872"/>
          </w:tcPr>
          <w:p>
            <w:r>
              <w:rPr>
                <w:b/>
                <w:i w:val="0"/>
                <w:sz w:val="16"/>
              </w:rPr>
              <w:t>3 · Forecast the next 3 days</w:t>
            </w:r>
          </w:p>
        </w:tc>
        <w:tc>
          <w:tcPr>
            <w:tcW w:type="dxa" w:w="8064"/>
          </w:tcPr>
          <w:p>
            <w:r>
              <w:rPr>
                <w:b w:val="0"/>
                <w:i w:val="0"/>
                <w:sz w:val="16"/>
              </w:rPr>
              <w:t>The 3-day forecast and chance for every stock (section 3). Three model families (logistic regression, random forest, XGBoost) are re-evaluated every week in a champion–challenger setup. A replay of that weekly choice under 15 settings moved accuracy only between 53.8% and 54.6% (0–4 switches), and the pooled winner led per stock on just 4 of 15: switching added churn, not accuracy. The serving model is therefore pinned (random forest) and the weekly evaluation is kept as monitoring. Each forecast carries its own per-stock record — the ✓ / ✗ column.</w:t>
            </w:r>
          </w:p>
        </w:tc>
      </w:tr>
      <w:tr>
        <w:tc>
          <w:tcPr>
            <w:tcW w:type="dxa" w:w="1872"/>
            <w:shd w:val="clear" w:color="auto" w:fill="F7F7F5"/>
          </w:tcPr>
          <w:p>
            <w:r>
              <w:rPr>
                <w:b/>
                <w:i w:val="0"/>
                <w:sz w:val="16"/>
              </w:rPr>
              <w:t>4 · Check and write the report</w:t>
            </w:r>
          </w:p>
        </w:tc>
        <w:tc>
          <w:tcPr>
            <w:tcW w:type="dxa" w:w="8064"/>
            <w:shd w:val="clear" w:color="auto" w:fill="F7F7F5"/>
          </w:tcPr>
          <w:p>
            <w:r>
              <w:rPr>
                <w:b w:val="0"/>
                <w:i w:val="0"/>
                <w:sz w:val="16"/>
              </w:rPr>
              <w:t>Sorts each stock into one of 11 patterns (below; shown on the cards and table in plain words as 'price vs news'), flags what deserves a closer look (⚑), picks the cards, and draws the day's market read: where the moves were, whether company news, the sector or the whole market moved with them, and what the backdrop and the forecast add. Every kind of statement carries its tested record (section 5). An AI writer, the same model as stage 2, rewrites the code-written market read in plainer words and drafts each card's 'In short' line. It may not write a single digit (code fills in every number), and a draft that breaks any rule — no advice, no targets, no claimed certainty, no number or stock it was not given, no rise word next to a fall, no claim that the news explains a move the report says it does not, no more than little weight on the forecast, no figure in words, no claim against the stored price facts — is replaced by the template text.</w:t>
            </w:r>
          </w:p>
        </w:tc>
      </w:tr>
    </w:tbl>
    <w:p>
      <w:pPr>
        <w:spacing w:after="40"/>
      </w:pPr>
      <w:r>
        <w:rPr>
          <w:b w:val="0"/>
          <w:i w:val="0"/>
          <w:color w:val="52514E"/>
          <w:sz w:val="15"/>
        </w:rPr>
        <w:t>AI-written text in this report: the market read and 'In short' lines (stage 4) and the news summaries (stage 2), all checked; every number, table and verdict is computed by code. In the project's documentation the four stages are Tasks 1–4, 5, 6 and 7.</w:t>
      </w:r>
    </w:p>
    <w:p>
      <w:pPr>
        <w:keepNext/>
        <w:spacing w:before="120" w:after="20"/>
      </w:pPr>
      <w:r>
        <w:rPr>
          <w:b/>
          <w:i w:val="0"/>
          <w:color w:val="1A2E55"/>
          <w:sz w:val="21"/>
        </w:rPr>
        <w:t>Today's patterns: how news, price and forecast line up</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26" w:type="dxa"/>
          <w:bottom w:w="26" w:type="dxa"/>
          <w:left w:w="60" w:type="dxa"/>
          <w:right w:w="60" w:type="dxa"/>
        </w:tblCellMar>
      </w:tblPr>
      <w:tblGrid>
        <w:gridCol w:w="1800"/>
        <w:gridCol w:w="3312"/>
        <w:gridCol w:w="4824"/>
      </w:tblGrid>
      <w:tr>
        <w:tc>
          <w:tcPr>
            <w:tcW w:type="dxa" w:w="1800"/>
            <w:shd w:val="clear" w:color="auto" w:fill="1A2E55"/>
          </w:tcPr>
          <w:p>
            <w:r>
              <w:rPr>
                <w:b/>
                <w:i w:val="0"/>
                <w:color w:val="FFFFFF"/>
                <w:sz w:val="14"/>
              </w:rPr>
              <w:t>Pattern</w:t>
            </w:r>
          </w:p>
        </w:tc>
        <w:tc>
          <w:tcPr>
            <w:tcW w:type="dxa" w:w="3312"/>
            <w:shd w:val="clear" w:color="auto" w:fill="1A2E55"/>
          </w:tcPr>
          <w:p>
            <w:r>
              <w:rPr>
                <w:b/>
                <w:i w:val="0"/>
                <w:color w:val="FFFFFF"/>
                <w:sz w:val="14"/>
              </w:rPr>
              <w:t>Stocks today</w:t>
            </w:r>
          </w:p>
        </w:tc>
        <w:tc>
          <w:tcPr>
            <w:tcW w:type="dxa" w:w="4824"/>
            <w:shd w:val="clear" w:color="auto" w:fill="1A2E55"/>
          </w:tcPr>
          <w:p>
            <w:r>
              <w:rPr>
                <w:b/>
                <w:i w:val="0"/>
                <w:color w:val="FFFFFF"/>
                <w:sz w:val="14"/>
              </w:rPr>
              <w:t>Meaning</w:t>
            </w:r>
          </w:p>
        </w:tc>
      </w:tr>
      <w:tr>
        <w:tc>
          <w:tcPr>
            <w:tcW w:type="dxa" w:w="1800"/>
          </w:tcPr>
          <w:p>
            <w:r>
              <w:rPr>
                <w:b/>
                <w:i w:val="0"/>
                <w:sz w:val="15"/>
              </w:rPr>
              <w:t>Quiet (6)</w:t>
            </w:r>
          </w:p>
        </w:tc>
        <w:tc>
          <w:tcPr>
            <w:tcW w:type="dxa" w:w="3312"/>
          </w:tcPr>
          <w:p>
            <w:r>
              <w:rPr>
                <w:b w:val="0"/>
                <w:i w:val="0"/>
                <w:sz w:val="15"/>
              </w:rPr>
              <w:t>Mapletree Pan Asia Comm. Trust, Ascendas REIT, Mapletree Industrial, Singtel, ComfortDelGro, Raffles Medical Group</w:t>
            </w:r>
          </w:p>
        </w:tc>
        <w:tc>
          <w:tcPr>
            <w:tcW w:type="dxa" w:w="4824"/>
          </w:tcPr>
          <w:p>
            <w:r>
              <w:rPr>
                <w:b w:val="0"/>
                <w:i w:val="0"/>
                <w:sz w:val="15"/>
              </w:rPr>
              <w:t>no directional signal today</w:t>
            </w:r>
          </w:p>
        </w:tc>
      </w:tr>
      <w:tr>
        <w:tc>
          <w:tcPr>
            <w:tcW w:type="dxa" w:w="1800"/>
            <w:shd w:val="clear" w:color="auto" w:fill="F7F7F5"/>
          </w:tcPr>
          <w:p>
            <w:r>
              <w:rPr>
                <w:b/>
                <w:i w:val="0"/>
                <w:sz w:val="15"/>
              </w:rPr>
              <w:t>Muted, pending (4)</w:t>
            </w:r>
          </w:p>
        </w:tc>
        <w:tc>
          <w:tcPr>
            <w:tcW w:type="dxa" w:w="3312"/>
            <w:shd w:val="clear" w:color="auto" w:fill="F7F7F5"/>
          </w:tcPr>
          <w:p>
            <w:r>
              <w:rPr>
                <w:b w:val="0"/>
                <w:i w:val="0"/>
                <w:sz w:val="15"/>
              </w:rPr>
              <w:t>DBS Group, OCBC Bank, UOB, SGX Group</w:t>
            </w:r>
          </w:p>
        </w:tc>
        <w:tc>
          <w:tcPr>
            <w:tcW w:type="dxa" w:w="4824"/>
            <w:shd w:val="clear" w:color="auto" w:fill="F7F7F5"/>
          </w:tcPr>
          <w:p>
            <w:r>
              <w:rPr>
                <w:b w:val="0"/>
                <w:i w:val="0"/>
                <w:sz w:val="15"/>
              </w:rPr>
              <w:t>signals leaned one way, price barely moved; the model still expects that direction</w:t>
            </w:r>
          </w:p>
        </w:tc>
      </w:tr>
      <w:tr>
        <w:tc>
          <w:tcPr>
            <w:tcW w:type="dxa" w:w="1800"/>
          </w:tcPr>
          <w:p>
            <w:r>
              <w:rPr>
                <w:b/>
                <w:i w:val="0"/>
                <w:sz w:val="15"/>
              </w:rPr>
              <w:t>Dormant (3)</w:t>
            </w:r>
          </w:p>
        </w:tc>
        <w:tc>
          <w:tcPr>
            <w:tcW w:type="dxa" w:w="3312"/>
          </w:tcPr>
          <w:p>
            <w:r>
              <w:rPr>
                <w:b w:val="0"/>
                <w:i w:val="0"/>
                <w:sz w:val="15"/>
              </w:rPr>
              <w:t>Keppel Corp, ST Engineering, Wilmar Intl</w:t>
            </w:r>
          </w:p>
        </w:tc>
        <w:tc>
          <w:tcPr>
            <w:tcW w:type="dxa" w:w="4824"/>
          </w:tcPr>
          <w:p>
            <w:r>
              <w:rPr>
                <w:b w:val="0"/>
                <w:i w:val="0"/>
                <w:sz w:val="15"/>
              </w:rPr>
              <w:t>a slight lean in the signals; neither price nor model followed</w:t>
            </w:r>
          </w:p>
        </w:tc>
      </w:tr>
      <w:tr>
        <w:tc>
          <w:tcPr>
            <w:tcW w:type="dxa" w:w="1800"/>
            <w:shd w:val="clear" w:color="auto" w:fill="F7F7F5"/>
          </w:tcPr>
          <w:p>
            <w:r>
              <w:rPr>
                <w:b/>
                <w:i w:val="0"/>
                <w:sz w:val="15"/>
              </w:rPr>
              <w:t>Lag (1)</w:t>
            </w:r>
          </w:p>
        </w:tc>
        <w:tc>
          <w:tcPr>
            <w:tcW w:type="dxa" w:w="3312"/>
            <w:shd w:val="clear" w:color="auto" w:fill="F7F7F5"/>
          </w:tcPr>
          <w:p>
            <w:r>
              <w:rPr>
                <w:b w:val="0"/>
                <w:i w:val="0"/>
                <w:sz w:val="15"/>
              </w:rPr>
              <w:t>CapitaLand Integ. Comm. Trust</w:t>
            </w:r>
          </w:p>
        </w:tc>
        <w:tc>
          <w:tcPr>
            <w:tcW w:type="dxa" w:w="4824"/>
            <w:shd w:val="clear" w:color="auto" w:fill="F7F7F5"/>
          </w:tcPr>
          <w:p>
            <w:r>
              <w:rPr>
                <w:b w:val="0"/>
                <w:i w:val="0"/>
                <w:sz w:val="15"/>
              </w:rPr>
              <w:t>price went against the signals; the model sides with the signals</w:t>
            </w:r>
          </w:p>
        </w:tc>
      </w:tr>
      <w:tr>
        <w:tc>
          <w:tcPr>
            <w:tcW w:type="dxa" w:w="1800"/>
          </w:tcPr>
          <w:p>
            <w:r>
              <w:rPr>
                <w:b/>
                <w:i w:val="0"/>
                <w:sz w:val="15"/>
              </w:rPr>
              <w:t>Move complete (1)</w:t>
            </w:r>
          </w:p>
        </w:tc>
        <w:tc>
          <w:tcPr>
            <w:tcW w:type="dxa" w:w="3312"/>
          </w:tcPr>
          <w:p>
            <w:r>
              <w:rPr>
                <w:b w:val="0"/>
                <w:i w:val="0"/>
                <w:sz w:val="15"/>
              </w:rPr>
              <w:t>Sembcorp Industries</w:t>
            </w:r>
          </w:p>
        </w:tc>
        <w:tc>
          <w:tcPr>
            <w:tcW w:type="dxa" w:w="4824"/>
          </w:tcPr>
          <w:p>
            <w:r>
              <w:rPr>
                <w:b w:val="0"/>
                <w:i w:val="0"/>
                <w:sz w:val="15"/>
              </w:rPr>
              <w:t>the signals played out today; nothing further expected</w:t>
            </w:r>
          </w:p>
        </w:tc>
      </w:tr>
    </w:tbl>
    <w:p>
      <w:pPr>
        <w:spacing w:after="40"/>
      </w:pPr>
      <w:r>
        <w:rPr>
          <w:b w:val="0"/>
          <w:i w:val="0"/>
          <w:color w:val="52514E"/>
          <w:sz w:val="15"/>
        </w:rPr>
        <w:t>The other patterns in the 11-pattern engine did not occur today; the full set is defined in the final report, Appendix C. The contradiction check rated 1 of 15 readings strongly mixed (named on the cards) and 10 mildly mixed today.</w:t>
      </w:r>
    </w:p>
    <w:p>
      <w:pPr>
        <w:keepNext/>
        <w:pageBreakBefore/>
        <w:spacing w:before="0" w:after="40"/>
        <w:pBdr>
          <w:bottom w:val="single" w:sz="6" w:space="2" w:color="CDE2FB"/>
        </w:pBdr>
      </w:pPr>
      <w:r>
        <w:rPr>
          <w:b/>
          <w:i w:val="0"/>
          <w:color w:val="1A2E55"/>
          <w:sz w:val="26"/>
        </w:rPr>
        <w:t>5 · What three months of testing show</w:t>
      </w:r>
    </w:p>
    <w:p>
      <w:pPr>
        <w:keepNext/>
      </w:pPr>
      <w:r>
        <w:rPr>
          <w:b w:val="0"/>
          <w:i w:val="0"/>
          <w:color w:val="52514E"/>
          <w:sz w:val="17"/>
        </w:rPr>
        <w:t>Each part of the system was tested on the project's stored data before it was allowed into this report. Results across all 15 stocks; forecast records count only outcomes known by the report date, research results are from the whole project:</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18" w:type="dxa"/>
          <w:bottom w:w="18" w:type="dxa"/>
          <w:left w:w="50" w:type="dxa"/>
          <w:right w:w="50" w:type="dxa"/>
        </w:tblCellMar>
      </w:tblPr>
      <w:tblGrid>
        <w:gridCol w:w="1872"/>
        <w:gridCol w:w="4536"/>
        <w:gridCol w:w="1368"/>
        <w:gridCol w:w="2160"/>
      </w:tblGrid>
      <w:tr>
        <w:tc>
          <w:tcPr>
            <w:tcW w:type="dxa" w:w="1872"/>
            <w:shd w:val="clear" w:color="auto" w:fill="1A2E55"/>
          </w:tcPr>
          <w:p>
            <w:r>
              <w:rPr>
                <w:b/>
                <w:i w:val="0"/>
                <w:color w:val="FFFFFF"/>
                <w:sz w:val="13"/>
              </w:rPr>
              <w:t>What was tested</w:t>
            </w:r>
          </w:p>
        </w:tc>
        <w:tc>
          <w:tcPr>
            <w:tcW w:type="dxa" w:w="4536"/>
            <w:shd w:val="clear" w:color="auto" w:fill="1A2E55"/>
          </w:tcPr>
          <w:p>
            <w:r>
              <w:rPr>
                <w:b/>
                <w:i w:val="0"/>
                <w:color w:val="FFFFFF"/>
                <w:sz w:val="13"/>
              </w:rPr>
              <w:t>What we found</w:t>
            </w:r>
          </w:p>
        </w:tc>
        <w:tc>
          <w:tcPr>
            <w:tcW w:type="dxa" w:w="1368"/>
            <w:shd w:val="clear" w:color="auto" w:fill="1A2E55"/>
          </w:tcPr>
          <w:p>
            <w:r>
              <w:rPr>
                <w:b/>
                <w:i w:val="0"/>
                <w:color w:val="FFFFFF"/>
                <w:sz w:val="13"/>
              </w:rPr>
              <w:t>Verdict</w:t>
            </w:r>
          </w:p>
        </w:tc>
        <w:tc>
          <w:tcPr>
            <w:tcW w:type="dxa" w:w="2160"/>
            <w:shd w:val="clear" w:color="auto" w:fill="1A2E55"/>
          </w:tcPr>
          <w:p>
            <w:r>
              <w:rPr>
                <w:b/>
                <w:i w:val="0"/>
                <w:color w:val="FFFFFF"/>
                <w:sz w:val="13"/>
              </w:rPr>
              <w:t>What it means for you</w:t>
            </w:r>
          </w:p>
        </w:tc>
      </w:tr>
      <w:tr>
        <w:tc>
          <w:tcPr>
            <w:tcW w:type="dxa" w:w="1872"/>
          </w:tcPr>
          <w:p>
            <w:r>
              <w:rPr>
                <w:b/>
                <w:i w:val="0"/>
                <w:sz w:val="14"/>
              </w:rPr>
              <w:t>Can today's news and signals pick stocks?</w:t>
            </w:r>
          </w:p>
        </w:tc>
        <w:tc>
          <w:tcPr>
            <w:tcW w:type="dxa" w:w="4536"/>
          </w:tcPr>
          <w:p>
            <w:r>
              <w:rPr>
                <w:b w:val="0"/>
                <w:i w:val="0"/>
                <w:sz w:val="14"/>
              </w:rPr>
              <w:t>The ranking did not predict next-day returns against the other stocks (rank correlation -0.02 over 21 days).</w:t>
            </w:r>
          </w:p>
        </w:tc>
        <w:tc>
          <w:tcPr>
            <w:tcW w:type="dxa" w:w="1368"/>
            <w:shd w:val="clear" w:color="auto" w:fill="EFEEEA"/>
          </w:tcPr>
          <w:p>
            <w:r>
              <w:rPr>
                <w:b/>
                <w:i w:val="0"/>
                <w:color w:val="52514E"/>
                <w:sz w:val="14"/>
              </w:rPr>
              <w:t>○  Describes only</w:t>
            </w:r>
          </w:p>
        </w:tc>
        <w:tc>
          <w:tcPr>
            <w:tcW w:type="dxa" w:w="2160"/>
          </w:tcPr>
          <w:p>
            <w:r>
              <w:rPr>
                <w:b w:val="0"/>
                <w:i w:val="0"/>
                <w:sz w:val="14"/>
              </w:rPr>
              <w:t>Use it to understand the day, not to pick stocks</w:t>
            </w:r>
          </w:p>
        </w:tc>
      </w:tr>
      <w:tr>
        <w:tc>
          <w:tcPr>
            <w:tcW w:type="dxa" w:w="1872"/>
            <w:shd w:val="clear" w:color="auto" w:fill="F7F7F5"/>
          </w:tcPr>
          <w:p>
            <w:r>
              <w:rPr>
                <w:b/>
                <w:i w:val="0"/>
                <w:sz w:val="14"/>
              </w:rPr>
              <w:t>Was the news reading balanced?</w:t>
            </w:r>
          </w:p>
        </w:tc>
        <w:tc>
          <w:tcPr>
            <w:tcW w:type="dxa" w:w="4536"/>
            <w:shd w:val="clear" w:color="auto" w:fill="F7F7F5"/>
          </w:tcPr>
          <w:p>
            <w:r>
              <w:rPr>
                <w:b w:val="0"/>
                <w:i w:val="0"/>
                <w:sz w:val="14"/>
              </w:rPr>
              <w:t>An audit found one rule (company-event news) firing on 99.7% of readings, so readings leaned positive. Fixed on 21 Sep: positive readings 56% → 33%, with no loss of information.</w:t>
            </w:r>
          </w:p>
        </w:tc>
        <w:tc>
          <w:tcPr>
            <w:tcW w:type="dxa" w:w="1368"/>
            <w:shd w:val="clear" w:color="auto" w:fill="E4F3E4"/>
          </w:tcPr>
          <w:p>
            <w:r>
              <w:rPr>
                <w:b/>
                <w:i w:val="0"/>
                <w:color w:val="0A6E0A"/>
                <w:sz w:val="14"/>
              </w:rPr>
              <w:t>✓  Found and fixed</w:t>
            </w:r>
          </w:p>
        </w:tc>
        <w:tc>
          <w:tcPr>
            <w:tcW w:type="dxa" w:w="2160"/>
            <w:shd w:val="clear" w:color="auto" w:fill="F7F7F5"/>
          </w:tcPr>
          <w:p>
            <w:r>
              <w:rPr>
                <w:b w:val="0"/>
                <w:i w:val="0"/>
                <w:sz w:val="14"/>
              </w:rPr>
              <w:t>Readings are more balanced; negative ones stay rare</w:t>
            </w:r>
          </w:p>
        </w:tc>
      </w:tr>
      <w:tr>
        <w:tc>
          <w:tcPr>
            <w:tcW w:type="dxa" w:w="1872"/>
          </w:tcPr>
          <w:p>
            <w:r>
              <w:rPr>
                <w:b/>
                <w:i w:val="0"/>
                <w:sz w:val="14"/>
              </w:rPr>
              <w:t>Can the model forecast up or down?</w:t>
            </w:r>
          </w:p>
        </w:tc>
        <w:tc>
          <w:tcPr>
            <w:tcW w:type="dxa" w:w="4536"/>
          </w:tcPr>
          <w:p>
            <w:r>
              <w:rPr>
                <w:b w:val="0"/>
                <w:i w:val="0"/>
                <w:sz w:val="14"/>
              </w:rPr>
              <w:t>Live calls right 45% of 120 vs 59% for always 'no big move'. With honest probabilities, RandomForest, XGBoost and logistic regression all scored 53.3–54.0% vs 53.3%.</w:t>
            </w:r>
          </w:p>
        </w:tc>
        <w:tc>
          <w:tcPr>
            <w:tcW w:type="dxa" w:w="1368"/>
            <w:shd w:val="clear" w:color="auto" w:fill="FBE1E0"/>
          </w:tcPr>
          <w:p>
            <w:r>
              <w:rPr>
                <w:b/>
                <w:i w:val="0"/>
                <w:color w:val="A12D2C"/>
                <w:sz w:val="14"/>
              </w:rPr>
              <w:t>✗  Not reliable</w:t>
            </w:r>
          </w:p>
        </w:tc>
        <w:tc>
          <w:tcPr>
            <w:tcW w:type="dxa" w:w="2160"/>
          </w:tcPr>
          <w:p>
            <w:r>
              <w:rPr>
                <w:b w:val="0"/>
                <w:i w:val="0"/>
                <w:sz w:val="14"/>
              </w:rPr>
              <w:t>Three-day direction is not predictable from these inputs</w:t>
            </w:r>
          </w:p>
        </w:tc>
      </w:tr>
      <w:tr>
        <w:tc>
          <w:tcPr>
            <w:tcW w:type="dxa" w:w="1872"/>
            <w:shd w:val="clear" w:color="auto" w:fill="F7F7F5"/>
          </w:tcPr>
          <w:p>
            <w:r>
              <w:rPr>
                <w:b/>
                <w:i w:val="0"/>
                <w:sz w:val="14"/>
              </w:rPr>
              <w:t>Were its stated chances honest?</w:t>
            </w:r>
          </w:p>
        </w:tc>
        <w:tc>
          <w:tcPr>
            <w:tcW w:type="dxa" w:w="4536"/>
            <w:shd w:val="clear" w:color="auto" w:fill="F7F7F5"/>
          </w:tcPr>
          <w:p>
            <w:r>
              <w:rPr>
                <w:b w:val="0"/>
                <w:i w:val="0"/>
                <w:sz w:val="14"/>
              </w:rPr>
              <w:t>When the live model said 90% or more it was right 46% of the time (59 calls): its calibration had been fitted on its own training rows. Refitted out-of-fold, no model says 90%.</w:t>
            </w:r>
          </w:p>
        </w:tc>
        <w:tc>
          <w:tcPr>
            <w:tcW w:type="dxa" w:w="1368"/>
            <w:shd w:val="clear" w:color="auto" w:fill="FFF1D1"/>
          </w:tcPr>
          <w:p>
            <w:r>
              <w:rPr>
                <w:b/>
                <w:i w:val="0"/>
                <w:color w:val="8A5A00"/>
                <w:sz w:val="14"/>
              </w:rPr>
              <w:t>!  Found and fixed</w:t>
            </w:r>
          </w:p>
        </w:tc>
        <w:tc>
          <w:tcPr>
            <w:tcW w:type="dxa" w:w="2160"/>
            <w:shd w:val="clear" w:color="auto" w:fill="F7F7F5"/>
          </w:tcPr>
          <w:p>
            <w:r>
              <w:rPr>
                <w:b w:val="0"/>
                <w:i w:val="0"/>
                <w:sz w:val="14"/>
              </w:rPr>
              <w:t>Never read a high chance as near-certain</w:t>
            </w:r>
          </w:p>
        </w:tc>
      </w:tr>
      <w:tr>
        <w:tc>
          <w:tcPr>
            <w:tcW w:type="dxa" w:w="1872"/>
          </w:tcPr>
          <w:p>
            <w:r>
              <w:rPr>
                <w:b/>
                <w:i w:val="0"/>
                <w:sz w:val="14"/>
              </w:rPr>
              <w:t>Does marking weak forecasts help?</w:t>
            </w:r>
          </w:p>
        </w:tc>
        <w:tc>
          <w:tcPr>
            <w:tcW w:type="dxa" w:w="4536"/>
          </w:tcPr>
          <w:p>
            <w:r>
              <w:rPr>
                <w:b w:val="0"/>
                <w:i w:val="0"/>
                <w:sz w:val="14"/>
              </w:rPr>
              <w:t>✓ calls right 49%, others 37%; the gain is in 'no big move' calls (62%). ✓ rise-or-fall calls: 29% of 34.</w:t>
            </w:r>
          </w:p>
        </w:tc>
        <w:tc>
          <w:tcPr>
            <w:tcW w:type="dxa" w:w="1368"/>
            <w:shd w:val="clear" w:color="auto" w:fill="FFF1D1"/>
          </w:tcPr>
          <w:p>
            <w:r>
              <w:rPr>
                <w:b/>
                <w:i w:val="0"/>
                <w:color w:val="8A5A00"/>
                <w:sz w:val="14"/>
              </w:rPr>
              <w:t>!  For 'no big move' only</w:t>
            </w:r>
          </w:p>
        </w:tc>
        <w:tc>
          <w:tcPr>
            <w:tcW w:type="dxa" w:w="2160"/>
          </w:tcPr>
          <w:p>
            <w:r>
              <w:rPr>
                <w:b w:val="0"/>
                <w:i w:val="0"/>
                <w:sz w:val="14"/>
              </w:rPr>
              <w:t>Trust ✓ on 'no big move', never on a direction</w:t>
            </w:r>
          </w:p>
        </w:tc>
      </w:tr>
      <w:tr>
        <w:tc>
          <w:tcPr>
            <w:tcW w:type="dxa" w:w="1872"/>
            <w:shd w:val="clear" w:color="auto" w:fill="F7F7F5"/>
          </w:tcPr>
          <w:p>
            <w:r>
              <w:rPr>
                <w:b/>
                <w:i w:val="0"/>
                <w:sz w:val="14"/>
              </w:rPr>
              <w:t>Does switching models weekly help?</w:t>
            </w:r>
          </w:p>
        </w:tc>
        <w:tc>
          <w:tcPr>
            <w:tcW w:type="dxa" w:w="4536"/>
            <w:shd w:val="clear" w:color="auto" w:fill="F7F7F5"/>
          </w:tcPr>
          <w:p>
            <w:r>
              <w:rPr>
                <w:b w:val="0"/>
                <w:i w:val="0"/>
                <w:sz w:val="14"/>
              </w:rPr>
              <w:t>Replaying the weekly champion choice under 15 settings gave 53.8–54.6%: switching added churn, not accuracy.</w:t>
            </w:r>
          </w:p>
        </w:tc>
        <w:tc>
          <w:tcPr>
            <w:tcW w:type="dxa" w:w="1368"/>
            <w:shd w:val="clear" w:color="auto" w:fill="EFEEEA"/>
          </w:tcPr>
          <w:p>
            <w:r>
              <w:rPr>
                <w:b/>
                <w:i w:val="0"/>
                <w:color w:val="52514E"/>
                <w:sz w:val="14"/>
              </w:rPr>
              <w:t>○  No gain</w:t>
            </w:r>
          </w:p>
        </w:tc>
        <w:tc>
          <w:tcPr>
            <w:tcW w:type="dxa" w:w="2160"/>
            <w:shd w:val="clear" w:color="auto" w:fill="F7F7F5"/>
          </w:tcPr>
          <w:p>
            <w:r>
              <w:rPr>
                <w:b w:val="0"/>
                <w:i w:val="0"/>
                <w:sz w:val="14"/>
              </w:rPr>
              <w:t>One model (RandomForest) is kept fixed</w:t>
            </w:r>
          </w:p>
        </w:tc>
      </w:tr>
      <w:tr>
        <w:tc>
          <w:tcPr>
            <w:tcW w:type="dxa" w:w="1872"/>
          </w:tcPr>
          <w:p>
            <w:r>
              <w:rPr>
                <w:b/>
                <w:i w:val="0"/>
                <w:sz w:val="14"/>
              </w:rPr>
              <w:t>How much will a stock move?</w:t>
            </w:r>
          </w:p>
        </w:tc>
        <w:tc>
          <w:tcPr>
            <w:tcW w:type="dxa" w:w="4536"/>
          </w:tcPr>
          <w:p>
            <w:r>
              <w:rPr>
                <w:b w:val="0"/>
                <w:i w:val="0"/>
                <w:sz w:val="14"/>
              </w:rPr>
              <w:t>The normal 3-day swing held 74% of the time (420 tests; about 68% expected).</w:t>
            </w:r>
          </w:p>
        </w:tc>
        <w:tc>
          <w:tcPr>
            <w:tcW w:type="dxa" w:w="1368"/>
            <w:shd w:val="clear" w:color="auto" w:fill="E4F3E4"/>
          </w:tcPr>
          <w:p>
            <w:r>
              <w:rPr>
                <w:b/>
                <w:i w:val="0"/>
                <w:color w:val="0A6E0A"/>
                <w:sz w:val="14"/>
              </w:rPr>
              <w:t>✓  Reliable</w:t>
            </w:r>
          </w:p>
        </w:tc>
        <w:tc>
          <w:tcPr>
            <w:tcW w:type="dxa" w:w="2160"/>
          </w:tcPr>
          <w:p>
            <w:r>
              <w:rPr>
                <w:b w:val="0"/>
                <w:i w:val="0"/>
                <w:sz w:val="14"/>
              </w:rPr>
              <w:t>Judge whether a move is unusual for that stock</w:t>
            </w:r>
          </w:p>
        </w:tc>
      </w:tr>
      <w:tr>
        <w:tc>
          <w:tcPr>
            <w:tcW w:type="dxa" w:w="1872"/>
            <w:shd w:val="clear" w:color="auto" w:fill="F7F7F5"/>
          </w:tcPr>
          <w:p>
            <w:r>
              <w:rPr>
                <w:b/>
                <w:i w:val="0"/>
                <w:sz w:val="14"/>
              </w:rPr>
              <w:t>Which stocks will be calmer?</w:t>
            </w:r>
          </w:p>
        </w:tc>
        <w:tc>
          <w:tcPr>
            <w:tcW w:type="dxa" w:w="4536"/>
            <w:shd w:val="clear" w:color="auto" w:fill="F7F7F5"/>
          </w:tcPr>
          <w:p>
            <w:r>
              <w:rPr>
                <w:b w:val="0"/>
                <w:i w:val="0"/>
                <w:sz w:val="14"/>
              </w:rPr>
              <w:t>The five with the highest chance of no big move moved over 1% about 4 in 10 times, the others about 6 in 10 (31 test days). The rule was set after looking at the data.</w:t>
            </w:r>
          </w:p>
        </w:tc>
        <w:tc>
          <w:tcPr>
            <w:tcW w:type="dxa" w:w="1368"/>
            <w:shd w:val="clear" w:color="auto" w:fill="FFF1D1"/>
          </w:tcPr>
          <w:p>
            <w:r>
              <w:rPr>
                <w:b/>
                <w:i w:val="0"/>
                <w:color w:val="8A5A00"/>
                <w:sz w:val="14"/>
              </w:rPr>
              <w:t>!  Promising</w:t>
            </w:r>
          </w:p>
        </w:tc>
        <w:tc>
          <w:tcPr>
            <w:tcW w:type="dxa" w:w="2160"/>
            <w:shd w:val="clear" w:color="auto" w:fill="F7F7F5"/>
          </w:tcPr>
          <w:p>
            <w:r>
              <w:rPr>
                <w:b w:val="0"/>
                <w:i w:val="0"/>
                <w:sz w:val="14"/>
              </w:rPr>
              <w:t>A hint where less is likely to happen</w:t>
            </w:r>
          </w:p>
        </w:tc>
      </w:tr>
      <w:tr>
        <w:tc>
          <w:tcPr>
            <w:tcW w:type="dxa" w:w="1872"/>
          </w:tcPr>
          <w:p>
            <w:r>
              <w:rPr>
                <w:b/>
                <w:i w:val="0"/>
                <w:sz w:val="14"/>
              </w:rPr>
              <w:t>Does ⚑ mean a bigger move?</w:t>
            </w:r>
          </w:p>
        </w:tc>
        <w:tc>
          <w:tcPr>
            <w:tcW w:type="dxa" w:w="4536"/>
          </w:tcPr>
          <w:p>
            <w:r>
              <w:rPr>
                <w:b w:val="0"/>
                <w:i w:val="0"/>
                <w:sz w:val="14"/>
              </w:rPr>
              <w:t>No. Next 3 days: flagged stocks moved 1.2% on average, the rest 1.3% (17 flags, 18 dates).</w:t>
            </w:r>
          </w:p>
        </w:tc>
        <w:tc>
          <w:tcPr>
            <w:tcW w:type="dxa" w:w="1368"/>
            <w:shd w:val="clear" w:color="auto" w:fill="EFEEEA"/>
          </w:tcPr>
          <w:p>
            <w:r>
              <w:rPr>
                <w:b/>
                <w:i w:val="0"/>
                <w:color w:val="52514E"/>
                <w:sz w:val="14"/>
              </w:rPr>
              <w:t>○  Not a forecast</w:t>
            </w:r>
          </w:p>
        </w:tc>
        <w:tc>
          <w:tcPr>
            <w:tcW w:type="dxa" w:w="2160"/>
          </w:tcPr>
          <w:p>
            <w:r>
              <w:rPr>
                <w:b w:val="0"/>
                <w:i w:val="0"/>
                <w:sz w:val="14"/>
              </w:rPr>
              <w:t>⚑ means read the card first</w:t>
            </w:r>
          </w:p>
        </w:tc>
      </w:tr>
      <w:tr>
        <w:tc>
          <w:tcPr>
            <w:tcW w:type="dxa" w:w="1872"/>
            <w:shd w:val="clear" w:color="auto" w:fill="F7F7F5"/>
          </w:tcPr>
          <w:p>
            <w:r>
              <w:rPr>
                <w:b/>
                <w:i w:val="0"/>
                <w:sz w:val="14"/>
              </w:rPr>
              <w:t>What do seven years of prices say?</w:t>
            </w:r>
          </w:p>
        </w:tc>
        <w:tc>
          <w:tcPr>
            <w:tcW w:type="dxa" w:w="4536"/>
            <w:shd w:val="clear" w:color="auto" w:fill="F7F7F5"/>
          </w:tcPr>
          <w:p>
            <w:r>
              <w:rPr>
                <w:b w:val="0"/>
                <w:i w:val="0"/>
                <w:sz w:val="14"/>
              </w:rPr>
              <w:t>A stock that beat the other 14 on a day tended to lag slightly the next day, 2019-2025 (rank correlation +0.071, t 9.8), but by less than trading costs.</w:t>
            </w:r>
          </w:p>
        </w:tc>
        <w:tc>
          <w:tcPr>
            <w:tcW w:type="dxa" w:w="1368"/>
            <w:shd w:val="clear" w:color="auto" w:fill="EFEEEA"/>
          </w:tcPr>
          <w:p>
            <w:r>
              <w:rPr>
                <w:b/>
                <w:i w:val="0"/>
                <w:color w:val="52514E"/>
                <w:sz w:val="14"/>
              </w:rPr>
              <w:t>○  Real but small</w:t>
            </w:r>
          </w:p>
        </w:tc>
        <w:tc>
          <w:tcPr>
            <w:tcW w:type="dxa" w:w="2160"/>
            <w:shd w:val="clear" w:color="auto" w:fill="F7F7F5"/>
          </w:tcPr>
          <w:p>
            <w:r>
              <w:rPr>
                <w:b w:val="0"/>
                <w:i w:val="0"/>
                <w:sz w:val="14"/>
              </w:rPr>
              <w:t>Do not chase a one-day jump</w:t>
            </w:r>
          </w:p>
        </w:tc>
      </w:tr>
    </w:tbl>
    <w:p>
      <w:pPr>
        <w:keepNext/>
        <w:spacing w:before="120" w:after="20"/>
      </w:pPr>
      <w:r>
        <w:rPr>
          <w:b/>
          <w:i w:val="0"/>
          <w:color w:val="1A2E55"/>
          <w:sz w:val="21"/>
        </w:rPr>
        <w:t>Limitations</w:t>
      </w:r>
    </w:p>
    <w:p>
      <w:pPr>
        <w:pStyle w:val="ListBullet"/>
        <w:spacing w:after="40"/>
      </w:pPr>
      <w:r>
        <w:rPr>
          <w:b w:val="0"/>
          <w:i w:val="0"/>
          <w:sz w:val="15"/>
        </w:rPr>
        <w:t>About three months of data in one market phase: every rate above could change as more data arrives.</w:t>
      </w:r>
    </w:p>
    <w:p>
      <w:pPr>
        <w:pStyle w:val="ListBullet"/>
        <w:spacing w:after="40"/>
      </w:pPr>
      <w:r>
        <w:rPr>
          <w:b w:val="0"/>
          <w:i w:val="0"/>
          <w:sz w:val="15"/>
        </w:rPr>
        <w:t>News readings rarely turn negative: bearish rules fire less often and weigh less. No negative reading means no negative signal was found, not that there was no bad news.</w:t>
      </w:r>
    </w:p>
    <w:p>
      <w:pPr>
        <w:pStyle w:val="ListBullet"/>
        <w:spacing w:after="40"/>
      </w:pPr>
      <w:r>
        <w:rPr>
          <w:b w:val="0"/>
          <w:i w:val="0"/>
          <w:sz w:val="15"/>
        </w:rPr>
        <w:t>Free data: options data is one Singapore stock-market fund shared by all 15 stocks, and news publication times have not been checked against the report's cut-off.</w:t>
      </w:r>
    </w:p>
    <w:p>
      <w:pPr>
        <w:pStyle w:val="ListBullet"/>
        <w:spacing w:after="40"/>
      </w:pPr>
      <w:r>
        <w:rPr>
          <w:b w:val="0"/>
          <w:i w:val="0"/>
          <w:sz w:val="15"/>
        </w:rPr>
        <w:t>One political-news rule fires every day (it reads the classifier's confidence, not the tone), as does its counterweight; the two are summed and marked 'unreliable'.</w:t>
      </w:r>
    </w:p>
    <w:p>
      <w:pPr>
        <w:pStyle w:val="ListBullet"/>
        <w:spacing w:after="40"/>
      </w:pPr>
      <w:r>
        <w:rPr>
          <w:b w:val="0"/>
          <w:i w:val="0"/>
          <w:sz w:val="15"/>
        </w:rPr>
        <w:t>The news search often returns older articles, so only headlines from the last 30 days are shown; some stocks show none on a given day.</w:t>
      </w:r>
    </w:p>
    <w:p>
      <w:pPr>
        <w:keepNext/>
        <w:spacing w:before="120" w:after="20"/>
      </w:pPr>
      <w:r>
        <w:rPr>
          <w:b/>
          <w:i w:val="0"/>
          <w:color w:val="1A2E55"/>
          <w:sz w:val="21"/>
        </w:rPr>
        <w:t>Words used in this report</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14" w:type="dxa"/>
          <w:bottom w:w="14" w:type="dxa"/>
          <w:left w:w="50" w:type="dxa"/>
          <w:right w:w="50" w:type="dxa"/>
        </w:tblCellMar>
      </w:tblPr>
      <w:tblGrid>
        <w:gridCol w:w="2160"/>
        <w:gridCol w:w="7776"/>
      </w:tblGrid>
      <w:tr>
        <w:tc>
          <w:tcPr>
            <w:tcW w:type="dxa" w:w="2160"/>
            <w:shd w:val="clear" w:color="auto" w:fill="1A2E55"/>
          </w:tcPr>
          <w:p>
            <w:r>
              <w:rPr>
                <w:b/>
                <w:i w:val="0"/>
                <w:color w:val="FFFFFF"/>
                <w:sz w:val="13"/>
              </w:rPr>
              <w:t>Word</w:t>
            </w:r>
          </w:p>
        </w:tc>
        <w:tc>
          <w:tcPr>
            <w:tcW w:type="dxa" w:w="7776"/>
            <w:shd w:val="clear" w:color="auto" w:fill="1A2E55"/>
          </w:tcPr>
          <w:p>
            <w:r>
              <w:rPr>
                <w:b/>
                <w:i w:val="0"/>
                <w:color w:val="FFFFFF"/>
                <w:sz w:val="13"/>
              </w:rPr>
              <w:t>Meaning</w:t>
            </w:r>
          </w:p>
        </w:tc>
      </w:tr>
      <w:tr>
        <w:tc>
          <w:tcPr>
            <w:tcW w:type="dxa" w:w="2160"/>
          </w:tcPr>
          <w:p>
            <w:r>
              <w:rPr>
                <w:b/>
                <w:i w:val="0"/>
                <w:sz w:val="14"/>
              </w:rPr>
              <w:t>News &amp; signals</w:t>
            </w:r>
          </w:p>
        </w:tc>
        <w:tc>
          <w:tcPr>
            <w:tcW w:type="dxa" w:w="7776"/>
          </w:tcPr>
          <w:p>
            <w:r>
              <w:rPr>
                <w:b w:val="0"/>
                <w:i w:val="0"/>
                <w:sz w:val="14"/>
              </w:rPr>
              <w:t>What today's news and indicators say on top of the price itself: positive, neutral or negative. It describes the day; the forecast is a separate model's job.</w:t>
            </w:r>
          </w:p>
        </w:tc>
      </w:tr>
      <w:tr>
        <w:tc>
          <w:tcPr>
            <w:tcW w:type="dxa" w:w="2160"/>
            <w:shd w:val="clear" w:color="auto" w:fill="F7F7F5"/>
          </w:tcPr>
          <w:p>
            <w:r>
              <w:rPr>
                <w:b/>
                <w:i w:val="0"/>
                <w:sz w:val="14"/>
              </w:rPr>
              <w:t>News today</w:t>
            </w:r>
          </w:p>
        </w:tc>
        <w:tc>
          <w:tcPr>
            <w:tcW w:type="dxa" w:w="7776"/>
            <w:shd w:val="clear" w:color="auto" w:fill="F7F7F5"/>
          </w:tcPr>
          <w:p>
            <w:r>
              <w:rPr>
                <w:b w:val="0"/>
                <w:i w:val="0"/>
                <w:sz w:val="14"/>
              </w:rPr>
              <w:t>The company articles collected on the day, each read as positive, negative or neutral by a finance language model (FinBERT). 'Mostly positive' means clearly more positive than negative articles.</w:t>
            </w:r>
          </w:p>
        </w:tc>
      </w:tr>
      <w:tr>
        <w:tc>
          <w:tcPr>
            <w:tcW w:type="dxa" w:w="2160"/>
          </w:tcPr>
          <w:p>
            <w:r>
              <w:rPr>
                <w:b/>
                <w:i w:val="0"/>
                <w:sz w:val="14"/>
              </w:rPr>
              <w:t>Normal day / big move</w:t>
            </w:r>
          </w:p>
        </w:tc>
        <w:tc>
          <w:tcPr>
            <w:tcW w:type="dxa" w:w="7776"/>
          </w:tcPr>
          <w:p>
            <w:r>
              <w:rPr>
                <w:b w:val="0"/>
                <w:i w:val="0"/>
                <w:sz w:val="14"/>
              </w:rPr>
              <w:t>A normal day: a one-day move within about ±0.6%, treated as the price not reacting. A big move (forecast): a three-day change beyond about ±1%. Both are half a standard deviation of past moves.</w:t>
            </w:r>
          </w:p>
        </w:tc>
      </w:tr>
      <w:tr>
        <w:tc>
          <w:tcPr>
            <w:tcW w:type="dxa" w:w="2160"/>
            <w:shd w:val="clear" w:color="auto" w:fill="F7F7F5"/>
          </w:tcPr>
          <w:p>
            <w:r>
              <w:rPr>
                <w:b/>
                <w:i w:val="0"/>
                <w:sz w:val="14"/>
              </w:rPr>
              <w:t>RSI</w:t>
            </w:r>
          </w:p>
        </w:tc>
        <w:tc>
          <w:tcPr>
            <w:tcW w:type="dxa" w:w="7776"/>
            <w:shd w:val="clear" w:color="auto" w:fill="F7F7F5"/>
          </w:tcPr>
          <w:p>
            <w:r>
              <w:rPr>
                <w:b w:val="0"/>
                <w:i w:val="0"/>
                <w:sz w:val="14"/>
              </w:rPr>
              <w:t>A 0-100 gauge of how fast the price has moved lately. Below 30 'oversold' (fell fast), above 70 'overbought' (rose fast).</w:t>
            </w:r>
          </w:p>
        </w:tc>
      </w:tr>
      <w:tr>
        <w:tc>
          <w:tcPr>
            <w:tcW w:type="dxa" w:w="2160"/>
          </w:tcPr>
          <w:p>
            <w:r>
              <w:rPr>
                <w:b/>
                <w:i w:val="0"/>
                <w:sz w:val="14"/>
              </w:rPr>
              <w:t>Average price (VWAP)</w:t>
            </w:r>
          </w:p>
        </w:tc>
        <w:tc>
          <w:tcPr>
            <w:tcW w:type="dxa" w:w="7776"/>
          </w:tcPr>
          <w:p>
            <w:r>
              <w:rPr>
                <w:b w:val="0"/>
                <w:i w:val="0"/>
                <w:sz w:val="14"/>
              </w:rPr>
              <w:t>The day's average price, weighted by how many shares traded at each price.</w:t>
            </w:r>
          </w:p>
        </w:tc>
      </w:tr>
      <w:tr>
        <w:tc>
          <w:tcPr>
            <w:tcW w:type="dxa" w:w="2160"/>
            <w:shd w:val="clear" w:color="auto" w:fill="F7F7F5"/>
          </w:tcPr>
          <w:p>
            <w:r>
              <w:rPr>
                <w:b/>
                <w:i w:val="0"/>
                <w:sz w:val="14"/>
              </w:rPr>
              <w:t>Usual range (Bollinger band)</w:t>
            </w:r>
          </w:p>
        </w:tc>
        <w:tc>
          <w:tcPr>
            <w:tcW w:type="dxa" w:w="7776"/>
            <w:shd w:val="clear" w:color="auto" w:fill="F7F7F5"/>
          </w:tcPr>
          <w:p>
            <w:r>
              <w:rPr>
                <w:b w:val="0"/>
                <w:i w:val="0"/>
                <w:sz w:val="14"/>
              </w:rPr>
              <w:t>The 20-day average price plus or minus two standard deviations; the price stays inside it on most days, so a close outside it is unusual.</w:t>
            </w:r>
          </w:p>
        </w:tc>
      </w:tr>
      <w:tr>
        <w:tc>
          <w:tcPr>
            <w:tcW w:type="dxa" w:w="2160"/>
          </w:tcPr>
          <w:p>
            <w:r>
              <w:rPr>
                <w:b/>
                <w:i w:val="0"/>
                <w:sz w:val="14"/>
              </w:rPr>
              <w:t>Trend turned (MACD)</w:t>
            </w:r>
          </w:p>
        </w:tc>
        <w:tc>
          <w:tcPr>
            <w:tcW w:type="dxa" w:w="7776"/>
          </w:tcPr>
          <w:p>
            <w:r>
              <w:rPr>
                <w:b w:val="0"/>
                <w:i w:val="0"/>
                <w:sz w:val="14"/>
              </w:rPr>
              <w:t>A short-term price average crossed a longer one.</w:t>
            </w:r>
          </w:p>
        </w:tc>
      </w:tr>
      <w:tr>
        <w:tc>
          <w:tcPr>
            <w:tcW w:type="dxa" w:w="2160"/>
            <w:shd w:val="clear" w:color="auto" w:fill="F7F7F5"/>
          </w:tcPr>
          <w:p>
            <w:r>
              <w:rPr>
                <w:b/>
                <w:i w:val="0"/>
                <w:sz w:val="14"/>
              </w:rPr>
              <w:t>Singapore ETF options</w:t>
            </w:r>
          </w:p>
        </w:tc>
        <w:tc>
          <w:tcPr>
            <w:tcW w:type="dxa" w:w="7776"/>
            <w:shd w:val="clear" w:color="auto" w:fill="F7F7F5"/>
          </w:tcPr>
          <w:p>
            <w:r>
              <w:rPr>
                <w:b w:val="0"/>
                <w:i w:val="0"/>
                <w:sz w:val="14"/>
              </w:rPr>
              <w:t>Bets traders place on a fund that tracks Singapore shares; more 'puts' means more people buying protection against a fall. The same for all 15 stocks.</w:t>
            </w:r>
          </w:p>
        </w:tc>
      </w:tr>
      <w:tr>
        <w:tc>
          <w:tcPr>
            <w:tcW w:type="dxa" w:w="2160"/>
          </w:tcPr>
          <w:p>
            <w:r>
              <w:rPr>
                <w:b/>
                <w:i w:val="0"/>
                <w:sz w:val="14"/>
              </w:rPr>
              <w:t>Normal 3-day swing</w:t>
            </w:r>
          </w:p>
        </w:tc>
        <w:tc>
          <w:tcPr>
            <w:tcW w:type="dxa" w:w="7776"/>
          </w:tcPr>
          <w:p>
            <w:r>
              <w:rPr>
                <w:b w:val="0"/>
                <w:i w:val="0"/>
                <w:sz w:val="14"/>
              </w:rPr>
              <w:t>How far the stock usually moves over three trading days (its recent daily volatility × √3); about 2 times in 3 the move stays inside it. A yardstick for whether a move is unusual.</w:t>
            </w:r>
          </w:p>
        </w:tc>
      </w:tr>
      <w:tr>
        <w:tc>
          <w:tcPr>
            <w:tcW w:type="dxa" w:w="2160"/>
            <w:shd w:val="clear" w:color="auto" w:fill="F7F7F5"/>
          </w:tcPr>
          <w:p>
            <w:r>
              <w:rPr>
                <w:b/>
                <w:i w:val="0"/>
                <w:sz w:val="14"/>
              </w:rPr>
              <w:t>Calmer than most</w:t>
            </w:r>
          </w:p>
        </w:tc>
        <w:tc>
          <w:tcPr>
            <w:tcW w:type="dxa" w:w="7776"/>
            <w:shd w:val="clear" w:color="auto" w:fill="F7F7F5"/>
          </w:tcPr>
          <w:p>
            <w:r>
              <w:rPr>
                <w:b w:val="0"/>
                <w:i w:val="0"/>
                <w:sz w:val="14"/>
              </w:rPr>
              <w:t>The five stocks with the highest chance of no big move in the forecast model's probabilities for the day.</w:t>
            </w:r>
          </w:p>
        </w:tc>
      </w:tr>
      <w:tr>
        <w:tc>
          <w:tcPr>
            <w:tcW w:type="dxa" w:w="2160"/>
          </w:tcPr>
          <w:p>
            <w:r>
              <w:rPr>
                <w:b/>
                <w:i w:val="0"/>
                <w:sz w:val="14"/>
              </w:rPr>
              <w:t>Forecast lean</w:t>
            </w:r>
          </w:p>
        </w:tc>
        <w:tc>
          <w:tcPr>
            <w:tcW w:type="dxa" w:w="7776"/>
          </w:tcPr>
          <w:p>
            <w:r>
              <w:rPr>
                <w:b w:val="0"/>
                <w:i w:val="0"/>
                <w:sz w:val="14"/>
              </w:rPr>
              <w:t>The forecast model's most likely outcome over the next three trading days: rise, fall or no big move, with the probability it gave. Probabilities are calibrated out-of-fold, so 50% means about half come true.</w:t>
            </w:r>
          </w:p>
        </w:tc>
      </w:tr>
      <w:tr>
        <w:tc>
          <w:tcPr>
            <w:tcW w:type="dxa" w:w="2160"/>
            <w:shd w:val="clear" w:color="auto" w:fill="F7F7F5"/>
          </w:tcPr>
          <w:p>
            <w:r>
              <w:rPr>
                <w:b/>
                <w:i w:val="0"/>
                <w:sz w:val="14"/>
              </w:rPr>
              <w:t>★  ⚑  ✓  ✗</w:t>
            </w:r>
          </w:p>
        </w:tc>
        <w:tc>
          <w:tcPr>
            <w:tcW w:type="dxa" w:w="7776"/>
            <w:shd w:val="clear" w:color="auto" w:fill="F7F7F5"/>
          </w:tcPr>
          <w:p>
            <w:r>
              <w:rPr>
                <w:b w:val="0"/>
                <w:i w:val="0"/>
                <w:sz w:val="14"/>
              </w:rPr>
              <w:t>★ more company-event news than usual. ⚑ worth a closer look: the price went against the news, or the news is silent while the model leans one way, and the model has a usable record on this stock. ✓ / ✗ the model's record on that stock is about as good as or better than / worse than always guessing its most common past outcome.</w:t>
            </w:r>
          </w:p>
        </w:tc>
      </w:tr>
    </w:tbl>
    <w:p>
      <w:pPr>
        <w:spacing w:after="40"/>
      </w:pPr>
      <w:r>
        <w:rPr>
          <w:b w:val="0"/>
          <w:i/>
          <w:color w:val="52514E"/>
          <w:sz w:val="14"/>
        </w:rPr>
        <w:t>General information about 15 listed companies, generated automatically from stored data. It is not financial advice or a recommendation to deal in any security, and it takes no account of your circumstances. Past patterns do not guarantee future results.</w:t>
      </w:r>
    </w:p>
    <w:sectPr w:rsidR="00FC693F" w:rsidRPr="0006063C" w:rsidSect="00034616">
      <w:footerReference w:type="default" r:id="rId9"/>
      <w:pgSz w:w="11906" w:h="16838"/>
      <w:pgMar w:top="850" w:right="1020" w:bottom="850" w:left="1020"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b w:val="0"/>
        <w:i w:val="0"/>
        <w:color w:val="898781"/>
        <w:sz w:val="15"/>
      </w:rPr>
      <w:t xml:space="preserve">SGX Daily Signal Report  ·  03 Sep 2026  ·  general information, not financial advice   ·   page </w:t>
    </w:r>
    <w:r>
      <w:rPr>
        <w:color w:val="898781"/>
        <w:sz w:val="15"/>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pPr>
    <w:rPr>
      <w:rFonts w:ascii="Calibri" w:hAnsi="Calibri" w:eastAsia="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