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Wednesday 09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03–09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-0.4% on average (3 up, 9 down); over 03–09 Sep they moved -0.5%. Weakest: Healthcare (-2.3%), REIT (-1.1%) and Consumer Goods (-1.0%); strongest: Telecommunications (+2.2%) and Industrials (+0.9%).</w:t>
      </w:r>
    </w:p>
    <w:p>
      <w:pPr>
        <w:pStyle w:val="ListBullet"/>
        <w:spacing w:after="40"/>
      </w:pPr>
      <w:r>
        <w:rPr>
          <w:b/>
          <w:i w:val="0"/>
          <w:color w:val="1A2E55"/>
          <w:sz w:val="19"/>
        </w:rPr>
        <w:t xml:space="preserve">Why. </w:t>
      </w:r>
      <w:r>
        <w:rPr>
          <w:b w:val="0"/>
          <w:i w:val="0"/>
          <w:sz w:val="19"/>
        </w:rPr>
        <w:t>Biggest movers over 03–09 Sep: Wilmar Intl (-2.9%), Keppel Corp (+2.3%) and Raffles Medical Group (-2.3%). Wilmar Intl moved more than the market without a company news story. Keppel Corp moved against the market without a company news story. For Raffles Medical Group, the company news and the price disagree. See section 2.</w:t>
      </w:r>
    </w:p>
    <w:p>
      <w:pPr>
        <w:pStyle w:val="ListBullet"/>
        <w:spacing w:after="40"/>
      </w:pPr>
      <w:r>
        <w:rPr>
          <w:b/>
          <w:i w:val="0"/>
          <w:color w:val="1A2E55"/>
          <w:sz w:val="19"/>
        </w:rPr>
        <w:t xml:space="preserve">Backdrop. </w:t>
      </w:r>
      <w:r>
        <w:rPr>
          <w:b w:val="0"/>
          <w:i w:val="0"/>
          <w:sz w:val="19"/>
        </w:rPr>
        <w:t>The market backdrop is normal (VIX 15.7), and Singapore ETF options are neutral (put/call 0.97).</w:t>
      </w:r>
    </w:p>
    <w:p>
      <w:pPr>
        <w:pStyle w:val="ListBullet"/>
        <w:spacing w:after="40"/>
      </w:pPr>
      <w:r>
        <w:rPr>
          <w:b/>
          <w:i w:val="0"/>
          <w:color w:val="1A2E55"/>
          <w:sz w:val="19"/>
        </w:rPr>
        <w:t xml:space="preserve">New today. </w:t>
      </w:r>
      <w:r>
        <w:rPr>
          <w:b w:val="0"/>
          <w:i w:val="0"/>
          <w:sz w:val="19"/>
        </w:rPr>
        <w:t>Today's news added a positive signal for DBS Group (the price went the other way), SGX Group (not yet in the price), Raffles Medical Group (the price went the other way), Singtel (not yet in the price) and two more. See section 2.</w:t>
      </w:r>
    </w:p>
    <w:p>
      <w:pPr>
        <w:pStyle w:val="ListBullet"/>
        <w:spacing w:after="40"/>
      </w:pPr>
      <w:r>
        <w:rPr>
          <w:b/>
          <w:i w:val="0"/>
          <w:color w:val="1A2E55"/>
          <w:sz w:val="19"/>
        </w:rPr>
        <w:t xml:space="preserve">Next 3 days. </w:t>
      </w:r>
      <w:r>
        <w:rPr>
          <w:b w:val="0"/>
          <w:i w:val="0"/>
          <w:sz w:val="19"/>
        </w:rPr>
        <w:t>The forecast model leans towards a rise for nine stocks and no big move for the rest (only CapitaLand Integ. Comm. Trust, ST Engineering and Wilmar Intl with a ✓ record); normal 3-day swings run from ±0.9% (Mapletree Industrial) to ±3.0% (Wilmar Intl), so a bigger move than a stock's own swing would be unusual. See section 3.</w:t>
      </w:r>
    </w:p>
    <w:p>
      <w:pPr>
        <w:pStyle w:val="ListBullet"/>
        <w:spacing w:after="40"/>
      </w:pPr>
      <w:r>
        <w:rPr>
          <w:b/>
          <w:i w:val="0"/>
          <w:color w:val="1A2E55"/>
          <w:sz w:val="19"/>
        </w:rPr>
        <w:t xml:space="preserve">For you. </w:t>
      </w:r>
      <w:r>
        <w:rPr>
          <w:b w:val="0"/>
          <w:i w:val="0"/>
          <w:sz w:val="19"/>
        </w:rPr>
        <w:t>Flagged ⚑, with a usable model record: CapitaLand Integ. Comm. Trust, where the price went against the news and the model sides with the news; ST Engineering, where today's news gives no signal, but the forecast model leans to a rise; Wilmar Intl, where today's news gives no signal, but the forecast model leans to a rise. Their cards are worth reading first. The moves in Wilmar Intl and Keppel Corp came without company news, so sector or market news is the place to check before reacting. If you prefer less day-to-day movement, Mapletree Industrial, Raffles Medical Group, Keppel Corp, Sembcorp Industries and ComfortDelGro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No market-wide signal fired today.</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03–09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DBS Group ★</w:t>
            </w:r>
          </w:p>
        </w:tc>
        <w:tc>
          <w:tcPr>
            <w:tcW w:type="dxa" w:w="662"/>
          </w:tcPr>
          <w:p>
            <w:pPr>
              <w:jc w:val="right"/>
            </w:pPr>
            <w:r>
              <w:rPr>
                <w:b w:val="0"/>
                <w:i w:val="0"/>
                <w:color w:val="A12D2C"/>
                <w:sz w:val="15"/>
              </w:rPr>
              <w:t>-0.8%</w:t>
            </w:r>
          </w:p>
        </w:tc>
        <w:tc>
          <w:tcPr>
            <w:tcW w:type="dxa" w:w="792"/>
          </w:tcPr>
          <w:p>
            <w:pPr>
              <w:jc w:val="right"/>
            </w:pPr>
            <w:r>
              <w:rPr>
                <w:b w:val="0"/>
                <w:i w:val="0"/>
                <w:color w:val="52514E"/>
                <w:sz w:val="15"/>
              </w:rPr>
              <w:t>-0.1%</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Price went the other way</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A12D2C"/>
                <w:sz w:val="15"/>
              </w:rPr>
              <w:t>-0.5%</w:t>
            </w:r>
          </w:p>
        </w:tc>
        <w:tc>
          <w:tcPr>
            <w:tcW w:type="dxa" w:w="792"/>
            <w:shd w:val="clear" w:color="auto" w:fill="F7F7F5"/>
          </w:tcPr>
          <w:p>
            <w:pPr>
              <w:jc w:val="right"/>
            </w:pPr>
            <w:r>
              <w:rPr>
                <w:b w:val="0"/>
                <w:i w:val="0"/>
                <w:color w:val="A12D2C"/>
                <w:sz w:val="15"/>
              </w:rPr>
              <w:t>-0.7%</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Raffles Medical Group ★</w:t>
            </w:r>
          </w:p>
        </w:tc>
        <w:tc>
          <w:tcPr>
            <w:tcW w:type="dxa" w:w="662"/>
          </w:tcPr>
          <w:p>
            <w:pPr>
              <w:jc w:val="right"/>
            </w:pPr>
            <w:r>
              <w:rPr>
                <w:b w:val="0"/>
                <w:i w:val="0"/>
                <w:color w:val="A12D2C"/>
                <w:sz w:val="15"/>
              </w:rPr>
              <w:t>-1.8%</w:t>
            </w:r>
          </w:p>
        </w:tc>
        <w:tc>
          <w:tcPr>
            <w:tcW w:type="dxa" w:w="792"/>
          </w:tcPr>
          <w:p>
            <w:pPr>
              <w:jc w:val="right"/>
            </w:pPr>
            <w:r>
              <w:rPr>
                <w:b w:val="0"/>
                <w:i w:val="0"/>
                <w:color w:val="A12D2C"/>
                <w:sz w:val="15"/>
              </w:rPr>
              <w:t>-2.3%</w:t>
            </w:r>
          </w:p>
        </w:tc>
        <w:tc>
          <w:tcPr>
            <w:tcW w:type="dxa" w:w="1037"/>
            <w:shd w:val="clear" w:color="auto" w:fill="DCEAFB"/>
          </w:tcPr>
          <w:p>
            <w:r>
              <w:rPr>
                <w:b/>
                <w:i w:val="0"/>
                <w:color w:val="1C5CAB"/>
                <w:sz w:val="15"/>
              </w:rPr>
              <w:t>Positive</w:t>
            </w:r>
          </w:p>
        </w:tc>
        <w:tc>
          <w:tcPr>
            <w:tcW w:type="dxa" w:w="1382"/>
          </w:tcPr>
          <w:p>
            <w:r>
              <w:rPr>
                <w:b w:val="0"/>
                <w:i w:val="0"/>
                <w:sz w:val="15"/>
              </w:rPr>
              <w:t>Mostly positive (29)</w:t>
            </w:r>
          </w:p>
        </w:tc>
        <w:tc>
          <w:tcPr>
            <w:tcW w:type="dxa" w:w="1872"/>
          </w:tcPr>
          <w:p>
            <w:r>
              <w:rPr>
                <w:b w:val="0"/>
                <w:i w:val="0"/>
                <w:sz w:val="15"/>
              </w:rPr>
              <w:t>Oversold · Weekly down · Trend turned down · Below range</w:t>
            </w:r>
          </w:p>
        </w:tc>
        <w:tc>
          <w:tcPr>
            <w:tcW w:type="dxa" w:w="1642"/>
          </w:tcPr>
          <w:p>
            <w:r>
              <w:rPr>
                <w:b w:val="0"/>
                <w:i w:val="0"/>
                <w:sz w:val="15"/>
              </w:rPr>
              <w:t>Price went the other way</w:t>
            </w:r>
          </w:p>
        </w:tc>
      </w:tr>
      <w:tr>
        <w:tc>
          <w:tcPr>
            <w:tcW w:type="dxa" w:w="360"/>
            <w:shd w:val="clear" w:color="auto" w:fill="F7F7F5"/>
          </w:tcPr>
          <w:p>
            <w:r>
              <w:rPr>
                <w:b w:val="0"/>
                <w:i w:val="0"/>
                <w:sz w:val="15"/>
              </w:rPr>
              <w:t>4</w:t>
            </w:r>
          </w:p>
        </w:tc>
        <w:tc>
          <w:tcPr>
            <w:tcW w:type="dxa" w:w="2189"/>
            <w:shd w:val="clear" w:color="auto" w:fill="F7F7F5"/>
          </w:tcPr>
          <w:p>
            <w:r>
              <w:rPr>
                <w:b w:val="0"/>
                <w:i w:val="0"/>
                <w:sz w:val="15"/>
              </w:rPr>
              <w:t>Singtel ★</w:t>
            </w:r>
          </w:p>
        </w:tc>
        <w:tc>
          <w:tcPr>
            <w:tcW w:type="dxa" w:w="662"/>
            <w:shd w:val="clear" w:color="auto" w:fill="F7F7F5"/>
          </w:tcPr>
          <w:p>
            <w:pPr>
              <w:jc w:val="right"/>
            </w:pPr>
            <w:r>
              <w:rPr>
                <w:b w:val="0"/>
                <w:i w:val="0"/>
                <w:color w:val="1C5CAB"/>
                <w:sz w:val="15"/>
              </w:rPr>
              <w:t>+0.4%</w:t>
            </w:r>
          </w:p>
        </w:tc>
        <w:tc>
          <w:tcPr>
            <w:tcW w:type="dxa" w:w="792"/>
            <w:shd w:val="clear" w:color="auto" w:fill="F7F7F5"/>
          </w:tcPr>
          <w:p>
            <w:pPr>
              <w:jc w:val="right"/>
            </w:pPr>
            <w:r>
              <w:rPr>
                <w:b w:val="0"/>
                <w:i w:val="0"/>
                <w:color w:val="1C5CAB"/>
                <w:sz w:val="15"/>
              </w:rPr>
              <w:t>+2.2%</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5</w:t>
            </w:r>
          </w:p>
        </w:tc>
        <w:tc>
          <w:tcPr>
            <w:tcW w:type="dxa" w:w="2189"/>
          </w:tcPr>
          <w:p>
            <w:r>
              <w:rPr>
                <w:b w:val="0"/>
                <w:i w:val="0"/>
                <w:sz w:val="15"/>
              </w:rPr>
              <w:t>CapitaLand Integ. Comm. Trust ★ ⚑</w:t>
            </w:r>
          </w:p>
        </w:tc>
        <w:tc>
          <w:tcPr>
            <w:tcW w:type="dxa" w:w="662"/>
          </w:tcPr>
          <w:p>
            <w:pPr>
              <w:jc w:val="right"/>
            </w:pPr>
            <w:r>
              <w:rPr>
                <w:b w:val="0"/>
                <w:i w:val="0"/>
                <w:color w:val="A12D2C"/>
                <w:sz w:val="15"/>
              </w:rPr>
              <w:t>-0.9%</w:t>
            </w:r>
          </w:p>
        </w:tc>
        <w:tc>
          <w:tcPr>
            <w:tcW w:type="dxa" w:w="792"/>
          </w:tcPr>
          <w:p>
            <w:pPr>
              <w:jc w:val="right"/>
            </w:pPr>
            <w:r>
              <w:rPr>
                <w:b w:val="0"/>
                <w:i w:val="0"/>
                <w:color w:val="A12D2C"/>
                <w:sz w:val="15"/>
              </w:rPr>
              <w:t>-0.9%</w:t>
            </w:r>
          </w:p>
        </w:tc>
        <w:tc>
          <w:tcPr>
            <w:tcW w:type="dxa" w:w="1037"/>
            <w:shd w:val="clear" w:color="auto" w:fill="DCEAFB"/>
          </w:tcPr>
          <w:p>
            <w:r>
              <w:rPr>
                <w:b/>
                <w:i w:val="0"/>
                <w:color w:val="1C5CAB"/>
                <w:sz w:val="15"/>
              </w:rPr>
              <w:t>Positive</w:t>
            </w:r>
          </w:p>
        </w:tc>
        <w:tc>
          <w:tcPr>
            <w:tcW w:type="dxa" w:w="1382"/>
          </w:tcPr>
          <w:p>
            <w:r>
              <w:rPr>
                <w:b w:val="0"/>
                <w:i w:val="0"/>
                <w:sz w:val="15"/>
              </w:rPr>
              <w:t>Mostly positive (25)</w:t>
            </w:r>
          </w:p>
        </w:tc>
        <w:tc>
          <w:tcPr>
            <w:tcW w:type="dxa" w:w="1872"/>
          </w:tcPr>
          <w:p>
            <w:r>
              <w:rPr>
                <w:b w:val="0"/>
                <w:i w:val="0"/>
                <w:sz w:val="15"/>
              </w:rPr>
              <w:t>—</w:t>
            </w:r>
          </w:p>
        </w:tc>
        <w:tc>
          <w:tcPr>
            <w:tcW w:type="dxa" w:w="1642"/>
          </w:tcPr>
          <w:p>
            <w:r>
              <w:rPr>
                <w:b w:val="0"/>
                <w:i w:val="0"/>
                <w:sz w:val="15"/>
              </w:rPr>
              <w:t>Price went the other way</w:t>
            </w:r>
          </w:p>
        </w:tc>
      </w:tr>
      <w:tr>
        <w:tc>
          <w:tcPr>
            <w:tcW w:type="dxa" w:w="360"/>
            <w:shd w:val="clear" w:color="auto" w:fill="F7F7F5"/>
          </w:tcPr>
          <w:p>
            <w:r>
              <w:rPr>
                <w:b w:val="0"/>
                <w:i w:val="0"/>
                <w:sz w:val="15"/>
              </w:rPr>
              <w:t>6</w:t>
            </w:r>
          </w:p>
        </w:tc>
        <w:tc>
          <w:tcPr>
            <w:tcW w:type="dxa" w:w="2189"/>
            <w:shd w:val="clear" w:color="auto" w:fill="F7F7F5"/>
          </w:tcPr>
          <w:p>
            <w:r>
              <w:rPr>
                <w:b w:val="0"/>
                <w:i w:val="0"/>
                <w:sz w:val="15"/>
              </w:rPr>
              <w:t>OCBC Bank ★</w:t>
            </w:r>
          </w:p>
        </w:tc>
        <w:tc>
          <w:tcPr>
            <w:tcW w:type="dxa" w:w="662"/>
            <w:shd w:val="clear" w:color="auto" w:fill="F7F7F5"/>
          </w:tcPr>
          <w:p>
            <w:pPr>
              <w:jc w:val="right"/>
            </w:pPr>
            <w:r>
              <w:rPr>
                <w:b w:val="0"/>
                <w:i w:val="0"/>
                <w:color w:val="A12D2C"/>
                <w:sz w:val="15"/>
              </w:rPr>
              <w:t>-1.1%</w:t>
            </w:r>
          </w:p>
        </w:tc>
        <w:tc>
          <w:tcPr>
            <w:tcW w:type="dxa" w:w="792"/>
            <w:shd w:val="clear" w:color="auto" w:fill="F7F7F5"/>
          </w:tcPr>
          <w:p>
            <w:pPr>
              <w:jc w:val="right"/>
            </w:pPr>
            <w:r>
              <w:rPr>
                <w:b w:val="0"/>
                <w:i w:val="0"/>
                <w:color w:val="A12D2C"/>
                <w:sz w:val="15"/>
              </w:rPr>
              <w:t>-1.6%</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Price went the other way</w:t>
            </w:r>
          </w:p>
        </w:tc>
      </w:tr>
      <w:tr>
        <w:tc>
          <w:tcPr>
            <w:tcW w:type="dxa" w:w="360"/>
          </w:tcPr>
          <w:p>
            <w:r>
              <w:rPr>
                <w:b w:val="0"/>
                <w:i w:val="0"/>
                <w:sz w:val="15"/>
              </w:rPr>
              <w:t>7</w:t>
            </w:r>
          </w:p>
        </w:tc>
        <w:tc>
          <w:tcPr>
            <w:tcW w:type="dxa" w:w="2189"/>
          </w:tcPr>
          <w:p>
            <w:r>
              <w:rPr>
                <w:b w:val="0"/>
                <w:i w:val="0"/>
                <w:sz w:val="15"/>
              </w:rPr>
              <w:t>Keppel Corp ★</w:t>
            </w:r>
          </w:p>
        </w:tc>
        <w:tc>
          <w:tcPr>
            <w:tcW w:type="dxa" w:w="662"/>
          </w:tcPr>
          <w:p>
            <w:pPr>
              <w:jc w:val="right"/>
            </w:pPr>
            <w:r>
              <w:rPr>
                <w:b w:val="0"/>
                <w:i w:val="0"/>
                <w:color w:val="A12D2C"/>
                <w:sz w:val="15"/>
              </w:rPr>
              <w:t>-0.7%</w:t>
            </w:r>
          </w:p>
        </w:tc>
        <w:tc>
          <w:tcPr>
            <w:tcW w:type="dxa" w:w="792"/>
          </w:tcPr>
          <w:p>
            <w:pPr>
              <w:jc w:val="right"/>
            </w:pPr>
            <w:r>
              <w:rPr>
                <w:b w:val="0"/>
                <w:i w:val="0"/>
                <w:color w:val="1C5CAB"/>
                <w:sz w:val="15"/>
              </w:rPr>
              <w:t>+2.3%</w:t>
            </w:r>
          </w:p>
        </w:tc>
        <w:tc>
          <w:tcPr>
            <w:tcW w:type="dxa" w:w="1037"/>
            <w:shd w:val="clear" w:color="auto" w:fill="EFEEEA"/>
          </w:tcPr>
          <w:p>
            <w:r>
              <w:rPr>
                <w:b/>
                <w:i w:val="0"/>
                <w:color w:val="52514E"/>
                <w:sz w:val="15"/>
              </w:rPr>
              <w:t>Neutral</w:t>
            </w:r>
          </w:p>
        </w:tc>
        <w:tc>
          <w:tcPr>
            <w:tcW w:type="dxa" w:w="1382"/>
          </w:tcPr>
          <w:p>
            <w:r>
              <w:rPr>
                <w:b w:val="0"/>
                <w:i w:val="0"/>
                <w:sz w:val="15"/>
              </w:rPr>
              <w:t>Mixed (31)</w:t>
            </w:r>
          </w:p>
        </w:tc>
        <w:tc>
          <w:tcPr>
            <w:tcW w:type="dxa" w:w="1872"/>
          </w:tcPr>
          <w:p>
            <w:r>
              <w:rPr>
                <w:b w:val="0"/>
                <w:i w:val="0"/>
                <w:sz w:val="15"/>
              </w:rPr>
              <w:t>Weekly up · Above avg price</w:t>
            </w:r>
          </w:p>
        </w:tc>
        <w:tc>
          <w:tcPr>
            <w:tcW w:type="dxa" w:w="1642"/>
          </w:tcPr>
          <w:p>
            <w:r>
              <w:rPr>
                <w:b w:val="0"/>
                <w:i w:val="0"/>
                <w:sz w:val="15"/>
              </w:rPr>
              <w:t>Moved without a signal</w:t>
            </w:r>
          </w:p>
        </w:tc>
      </w:tr>
      <w:tr>
        <w:tc>
          <w:tcPr>
            <w:tcW w:type="dxa" w:w="360"/>
            <w:shd w:val="clear" w:color="auto" w:fill="F7F7F5"/>
          </w:tcPr>
          <w:p>
            <w:r>
              <w:rPr>
                <w:b w:val="0"/>
                <w:i w:val="0"/>
                <w:sz w:val="15"/>
              </w:rPr>
              <w:t>8</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A12D2C"/>
                <w:sz w:val="15"/>
              </w:rPr>
              <w:t>-1.0%</w:t>
            </w:r>
          </w:p>
        </w:tc>
        <w:tc>
          <w:tcPr>
            <w:tcW w:type="dxa" w:w="792"/>
            <w:shd w:val="clear" w:color="auto" w:fill="F7F7F5"/>
          </w:tcPr>
          <w:p>
            <w:pPr>
              <w:jc w:val="right"/>
            </w:pPr>
            <w:r>
              <w:rPr>
                <w:b w:val="0"/>
                <w:i w:val="0"/>
                <w:color w:val="A12D2C"/>
                <w:sz w:val="15"/>
              </w:rPr>
              <w:t>-1.4%</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Moved without a signal</w:t>
            </w:r>
          </w:p>
        </w:tc>
      </w:tr>
      <w:tr>
        <w:tc>
          <w:tcPr>
            <w:tcW w:type="dxa" w:w="360"/>
          </w:tcPr>
          <w:p>
            <w:r>
              <w:rPr>
                <w:b w:val="0"/>
                <w:i w:val="0"/>
                <w:sz w:val="15"/>
              </w:rPr>
              <w:t>9</w:t>
            </w:r>
          </w:p>
        </w:tc>
        <w:tc>
          <w:tcPr>
            <w:tcW w:type="dxa" w:w="2189"/>
          </w:tcPr>
          <w:p>
            <w:r>
              <w:rPr>
                <w:b w:val="0"/>
                <w:i w:val="0"/>
                <w:sz w:val="15"/>
              </w:rPr>
              <w:t>Sembcorp Industries ★</w:t>
            </w:r>
          </w:p>
        </w:tc>
        <w:tc>
          <w:tcPr>
            <w:tcW w:type="dxa" w:w="662"/>
          </w:tcPr>
          <w:p>
            <w:pPr>
              <w:jc w:val="right"/>
            </w:pPr>
            <w:r>
              <w:rPr>
                <w:b w:val="0"/>
                <w:i w:val="0"/>
                <w:color w:val="A12D2C"/>
                <w:sz w:val="15"/>
              </w:rPr>
              <w:t>-0.3%</w:t>
            </w:r>
          </w:p>
        </w:tc>
        <w:tc>
          <w:tcPr>
            <w:tcW w:type="dxa" w:w="792"/>
          </w:tcPr>
          <w:p>
            <w:pPr>
              <w:jc w:val="right"/>
            </w:pPr>
            <w:r>
              <w:rPr>
                <w:b w:val="0"/>
                <w:i w:val="0"/>
                <w:color w:val="1C5CAB"/>
                <w:sz w:val="15"/>
              </w:rPr>
              <w:t>+1.6%</w:t>
            </w:r>
          </w:p>
        </w:tc>
        <w:tc>
          <w:tcPr>
            <w:tcW w:type="dxa" w:w="1037"/>
            <w:shd w:val="clear" w:color="auto" w:fill="EFEEEA"/>
          </w:tcPr>
          <w:p>
            <w:r>
              <w:rPr>
                <w:b/>
                <w:i w:val="0"/>
                <w:color w:val="52514E"/>
                <w:sz w:val="15"/>
              </w:rPr>
              <w:t>Neutral</w:t>
            </w:r>
          </w:p>
        </w:tc>
        <w:tc>
          <w:tcPr>
            <w:tcW w:type="dxa" w:w="1382"/>
          </w:tcPr>
          <w:p>
            <w:r>
              <w:rPr>
                <w:b w:val="0"/>
                <w:i w:val="0"/>
                <w:sz w:val="15"/>
              </w:rPr>
              <w:t>Mixed (22)</w:t>
            </w:r>
          </w:p>
        </w:tc>
        <w:tc>
          <w:tcPr>
            <w:tcW w:type="dxa" w:w="1872"/>
          </w:tcPr>
          <w:p>
            <w:r>
              <w:rPr>
                <w:b w:val="0"/>
                <w:i w:val="0"/>
                <w:sz w:val="15"/>
              </w:rPr>
              <w:t>Above avg price</w:t>
            </w:r>
          </w:p>
        </w:tc>
        <w:tc>
          <w:tcPr>
            <w:tcW w:type="dxa" w:w="1642"/>
          </w:tcPr>
          <w:p>
            <w:r>
              <w:rPr>
                <w:b w:val="0"/>
                <w:i w:val="0"/>
                <w:sz w:val="15"/>
              </w:rPr>
              <w:t>No signal, little move</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ST Engineering ★ ⚑</w:t>
            </w:r>
          </w:p>
        </w:tc>
        <w:tc>
          <w:tcPr>
            <w:tcW w:type="dxa" w:w="662"/>
            <w:shd w:val="clear" w:color="auto" w:fill="F7F7F5"/>
          </w:tcPr>
          <w:p>
            <w:pPr>
              <w:jc w:val="right"/>
            </w:pPr>
            <w:r>
              <w:rPr>
                <w:b w:val="0"/>
                <w:i w:val="0"/>
                <w:color w:val="52514E"/>
                <w:sz w:val="15"/>
              </w:rPr>
              <w:t>+0.3%</w:t>
            </w:r>
          </w:p>
        </w:tc>
        <w:tc>
          <w:tcPr>
            <w:tcW w:type="dxa" w:w="792"/>
            <w:shd w:val="clear" w:color="auto" w:fill="F7F7F5"/>
          </w:tcPr>
          <w:p>
            <w:pPr>
              <w:jc w:val="right"/>
            </w:pPr>
            <w:r>
              <w:rPr>
                <w:b w:val="0"/>
                <w:i w:val="0"/>
                <w:color w:val="A12D2C"/>
                <w:sz w:val="15"/>
              </w:rPr>
              <w:t>-1.1%</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(49)</w:t>
            </w:r>
          </w:p>
        </w:tc>
        <w:tc>
          <w:tcPr>
            <w:tcW w:type="dxa" w:w="1872"/>
            <w:shd w:val="clear" w:color="auto" w:fill="F7F7F5"/>
          </w:tcPr>
          <w:p>
            <w:r>
              <w:rPr>
                <w:b w:val="0"/>
                <w:i w:val="0"/>
                <w:sz w:val="15"/>
              </w:rPr>
              <w:t>—</w:t>
            </w:r>
          </w:p>
        </w:tc>
        <w:tc>
          <w:tcPr>
            <w:tcW w:type="dxa" w:w="1642"/>
            <w:shd w:val="clear" w:color="auto" w:fill="F7F7F5"/>
          </w:tcPr>
          <w:p>
            <w:r>
              <w:rPr>
                <w:b w:val="0"/>
                <w:i w:val="0"/>
                <w:sz w:val="15"/>
              </w:rPr>
              <w:t>No signal, little move</w:t>
            </w:r>
          </w:p>
        </w:tc>
      </w:tr>
      <w:tr>
        <w:tc>
          <w:tcPr>
            <w:tcW w:type="dxa" w:w="360"/>
          </w:tcPr>
          <w:p>
            <w:r>
              <w:rPr>
                <w:b w:val="0"/>
                <w:i w:val="0"/>
                <w:sz w:val="15"/>
              </w:rPr>
              <w:t>11</w:t>
            </w:r>
          </w:p>
        </w:tc>
        <w:tc>
          <w:tcPr>
            <w:tcW w:type="dxa" w:w="2189"/>
          </w:tcPr>
          <w:p>
            <w:r>
              <w:rPr>
                <w:b w:val="0"/>
                <w:i w:val="0"/>
                <w:sz w:val="15"/>
              </w:rPr>
              <w:t>ComfortDelGro ★</w:t>
            </w:r>
          </w:p>
        </w:tc>
        <w:tc>
          <w:tcPr>
            <w:tcW w:type="dxa" w:w="662"/>
          </w:tcPr>
          <w:p>
            <w:pPr>
              <w:jc w:val="right"/>
            </w:pPr>
            <w:r>
              <w:rPr>
                <w:b w:val="0"/>
                <w:i w:val="0"/>
                <w:color w:val="1C5CAB"/>
                <w:sz w:val="15"/>
              </w:rPr>
              <w:t>+0.8%</w:t>
            </w:r>
          </w:p>
        </w:tc>
        <w:tc>
          <w:tcPr>
            <w:tcW w:type="dxa" w:w="792"/>
          </w:tcPr>
          <w:p>
            <w:pPr>
              <w:jc w:val="right"/>
            </w:pPr>
            <w:r>
              <w:rPr>
                <w:b w:val="0"/>
                <w:i w:val="0"/>
                <w:color w:val="1C5CAB"/>
                <w:sz w:val="15"/>
              </w:rPr>
              <w:t>+0.8%</w:t>
            </w:r>
          </w:p>
        </w:tc>
        <w:tc>
          <w:tcPr>
            <w:tcW w:type="dxa" w:w="1037"/>
            <w:shd w:val="clear" w:color="auto" w:fill="EFEEEA"/>
          </w:tcPr>
          <w:p>
            <w:r>
              <w:rPr>
                <w:b/>
                <w:i w:val="0"/>
                <w:color w:val="52514E"/>
                <w:sz w:val="15"/>
              </w:rPr>
              <w:t>Neutral</w:t>
            </w:r>
          </w:p>
        </w:tc>
        <w:tc>
          <w:tcPr>
            <w:tcW w:type="dxa" w:w="1382"/>
          </w:tcPr>
          <w:p>
            <w:r>
              <w:rPr>
                <w:b w:val="0"/>
                <w:i w:val="0"/>
                <w:sz w:val="15"/>
              </w:rPr>
              <w:t>Mixed (46)</w:t>
            </w:r>
          </w:p>
        </w:tc>
        <w:tc>
          <w:tcPr>
            <w:tcW w:type="dxa" w:w="1872"/>
          </w:tcPr>
          <w:p>
            <w:r>
              <w:rPr>
                <w:b w:val="0"/>
                <w:i w:val="0"/>
                <w:sz w:val="15"/>
              </w:rPr>
              <w:t>—</w:t>
            </w:r>
          </w:p>
        </w:tc>
        <w:tc>
          <w:tcPr>
            <w:tcW w:type="dxa" w:w="1642"/>
          </w:tcPr>
          <w:p>
            <w:r>
              <w:rPr>
                <w:b w:val="0"/>
                <w:i w:val="0"/>
                <w:sz w:val="15"/>
              </w:rPr>
              <w:t>Moved without a signal</w:t>
            </w:r>
          </w:p>
        </w:tc>
      </w:tr>
      <w:tr>
        <w:tc>
          <w:tcPr>
            <w:tcW w:type="dxa" w:w="360"/>
            <w:shd w:val="clear" w:color="auto" w:fill="F7F7F5"/>
          </w:tcPr>
          <w:p>
            <w:r>
              <w:rPr>
                <w:b w:val="0"/>
                <w:i w:val="0"/>
                <w:sz w:val="15"/>
              </w:rPr>
              <w:t>12</w:t>
            </w:r>
          </w:p>
        </w:tc>
        <w:tc>
          <w:tcPr>
            <w:tcW w:type="dxa" w:w="2189"/>
            <w:shd w:val="clear" w:color="auto" w:fill="F7F7F5"/>
          </w:tcPr>
          <w:p>
            <w:r>
              <w:rPr>
                <w:b w:val="0"/>
                <w:i w:val="0"/>
                <w:sz w:val="15"/>
              </w:rPr>
              <w:t>Wilmar Intl ★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-2.9%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(23)</w:t>
            </w:r>
          </w:p>
        </w:tc>
        <w:tc>
          <w:tcPr>
            <w:tcW w:type="dxa" w:w="1872"/>
            <w:shd w:val="clear" w:color="auto" w:fill="F7F7F5"/>
          </w:tcPr>
          <w:p>
            <w:r>
              <w:rPr>
                <w:b w:val="0"/>
                <w:i w:val="0"/>
                <w:sz w:val="15"/>
              </w:rPr>
              <w:t>Trend turned down · Above avg price</w:t>
            </w:r>
          </w:p>
        </w:tc>
        <w:tc>
          <w:tcPr>
            <w:tcW w:type="dxa" w:w="1642"/>
            <w:shd w:val="clear" w:color="auto" w:fill="F7F7F5"/>
          </w:tcPr>
          <w:p>
            <w:r>
              <w:rPr>
                <w:b w:val="0"/>
                <w:i w:val="0"/>
                <w:sz w:val="15"/>
              </w:rPr>
              <w:t>No signal, little move</w:t>
            </w:r>
          </w:p>
        </w:tc>
      </w:tr>
      <w:tr>
        <w:tc>
          <w:tcPr>
            <w:tcW w:type="dxa" w:w="360"/>
          </w:tcPr>
          <w:p>
            <w:r>
              <w:rPr>
                <w:b w:val="0"/>
                <w:i w:val="0"/>
                <w:sz w:val="15"/>
              </w:rPr>
              <w:t>13</w:t>
            </w:r>
          </w:p>
        </w:tc>
        <w:tc>
          <w:tcPr>
            <w:tcW w:type="dxa" w:w="2189"/>
          </w:tcPr>
          <w:p>
            <w:r>
              <w:rPr>
                <w:b w:val="0"/>
                <w:i w:val="0"/>
                <w:sz w:val="15"/>
              </w:rPr>
              <w:t>Mapletree Pan Asia Comm. Trust ★</w:t>
            </w:r>
          </w:p>
        </w:tc>
        <w:tc>
          <w:tcPr>
            <w:tcW w:type="dxa" w:w="662"/>
          </w:tcPr>
          <w:p>
            <w:pPr>
              <w:jc w:val="right"/>
            </w:pPr>
            <w:r>
              <w:rPr>
                <w:b w:val="0"/>
                <w:i w:val="0"/>
                <w:color w:val="52514E"/>
                <w:sz w:val="15"/>
              </w:rPr>
              <w:t>+0.0%</w:t>
            </w:r>
          </w:p>
        </w:tc>
        <w:tc>
          <w:tcPr>
            <w:tcW w:type="dxa" w:w="792"/>
          </w:tcPr>
          <w:p>
            <w:pPr>
              <w:jc w:val="right"/>
            </w:pPr>
            <w:r>
              <w:rPr>
                <w:b w:val="0"/>
                <w:i w:val="0"/>
                <w:color w:val="A12D2C"/>
                <w:sz w:val="15"/>
              </w:rPr>
              <w:t>-1.6%</w:t>
            </w:r>
          </w:p>
        </w:tc>
        <w:tc>
          <w:tcPr>
            <w:tcW w:type="dxa" w:w="1037"/>
            <w:shd w:val="clear" w:color="auto" w:fill="EFEEEA"/>
          </w:tcPr>
          <w:p>
            <w:r>
              <w:rPr>
                <w:b/>
                <w:i w:val="0"/>
                <w:color w:val="52514E"/>
                <w:sz w:val="15"/>
              </w:rPr>
              <w:t>Neutral</w:t>
            </w:r>
          </w:p>
        </w:tc>
        <w:tc>
          <w:tcPr>
            <w:tcW w:type="dxa" w:w="1382"/>
          </w:tcPr>
          <w:p>
            <w:r>
              <w:rPr>
                <w:b w:val="0"/>
                <w:i w:val="0"/>
                <w:sz w:val="15"/>
              </w:rPr>
              <w:t>Mixed (20)</w:t>
            </w:r>
          </w:p>
        </w:tc>
        <w:tc>
          <w:tcPr>
            <w:tcW w:type="dxa" w:w="1872"/>
          </w:tcPr>
          <w:p>
            <w:r>
              <w:rPr>
                <w:b w:val="0"/>
                <w:i w:val="0"/>
                <w:sz w:val="15"/>
              </w:rPr>
              <w:t>Weekly down</w:t>
            </w:r>
          </w:p>
        </w:tc>
        <w:tc>
          <w:tcPr>
            <w:tcW w:type="dxa" w:w="1642"/>
          </w:tcPr>
          <w:p>
            <w:r>
              <w:rPr>
                <w:b w:val="0"/>
                <w:i w:val="0"/>
                <w:sz w:val="15"/>
              </w:rPr>
              <w:t>No signal, little move</w:t>
            </w:r>
          </w:p>
        </w:tc>
      </w:tr>
      <w:tr>
        <w:tc>
          <w:tcPr>
            <w:tcW w:type="dxa" w:w="360"/>
            <w:shd w:val="clear" w:color="auto" w:fill="F7F7F5"/>
          </w:tcPr>
          <w:p>
            <w:r>
              <w:rPr>
                <w:b w:val="0"/>
                <w:i w:val="0"/>
                <w:sz w:val="15"/>
              </w:rPr>
              <w:t>14</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-1.3%</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(21)</w:t>
            </w:r>
          </w:p>
        </w:tc>
        <w:tc>
          <w:tcPr>
            <w:tcW w:type="dxa" w:w="1872"/>
            <w:shd w:val="clear" w:color="auto" w:fill="F7F7F5"/>
          </w:tcPr>
          <w:p>
            <w:r>
              <w:rPr>
                <w:b w:val="0"/>
                <w:i w:val="0"/>
                <w:sz w:val="15"/>
              </w:rPr>
              <w:t>Weekly down · Below range</w:t>
            </w:r>
          </w:p>
        </w:tc>
        <w:tc>
          <w:tcPr>
            <w:tcW w:type="dxa" w:w="1642"/>
            <w:shd w:val="clear" w:color="auto" w:fill="F7F7F5"/>
          </w:tcPr>
          <w:p>
            <w:r>
              <w:rPr>
                <w:b w:val="0"/>
                <w:i w:val="0"/>
                <w:sz w:val="15"/>
              </w:rPr>
              <w:t>Moved without a signal</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52514E"/>
                <w:sz w:val="15"/>
              </w:rPr>
              <w:t>+0.0%</w:t>
            </w:r>
          </w:p>
        </w:tc>
        <w:tc>
          <w:tcPr>
            <w:tcW w:type="dxa" w:w="792"/>
          </w:tcPr>
          <w:p>
            <w:pPr>
              <w:jc w:val="right"/>
            </w:pPr>
            <w:r>
              <w:rPr>
                <w:b w:val="0"/>
                <w:i w:val="0"/>
                <w:color w:val="A12D2C"/>
                <w:sz w:val="15"/>
              </w:rPr>
              <w:t>-0.5%</w:t>
            </w:r>
          </w:p>
        </w:tc>
        <w:tc>
          <w:tcPr>
            <w:tcW w:type="dxa" w:w="1037"/>
            <w:shd w:val="clear" w:color="auto" w:fill="EFEEEA"/>
          </w:tcPr>
          <w:p>
            <w:r>
              <w:rPr>
                <w:b/>
                <w:i w:val="0"/>
                <w:color w:val="52514E"/>
                <w:sz w:val="15"/>
              </w:rPr>
              <w:t>Neutral</w:t>
            </w:r>
          </w:p>
        </w:tc>
        <w:tc>
          <w:tcPr>
            <w:tcW w:type="dxa" w:w="1382"/>
          </w:tcPr>
          <w:p>
            <w:r>
              <w:rPr>
                <w:b w:val="0"/>
                <w:i w:val="0"/>
                <w:sz w:val="15"/>
              </w:rPr>
              <w:t>Mostly negative (24)</w:t>
            </w:r>
          </w:p>
        </w:tc>
        <w:tc>
          <w:tcPr>
            <w:tcW w:type="dxa" w:w="1872"/>
          </w:tcPr>
          <w:p>
            <w:r>
              <w:rPr>
                <w:b w:val="0"/>
                <w:i w:val="0"/>
                <w:sz w:val="15"/>
              </w:rPr>
              <w:t>Trend turned down · Above avg price</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(3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03–09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09.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CapitaLand Integrated Commercial Trust</w:t>
            </w:r>
            <w:r>
              <w:rPr>
                <w:b w:val="0"/>
                <w:i w:val="0"/>
                <w:color w:val="52514E"/>
                <w:sz w:val="17"/>
              </w:rPr>
              <w:t xml:space="preserve">   REIT  ·  -0.9% over 03–09 Sep</w:t>
            </w:r>
          </w:p>
          <w:p>
            <w:pPr>
              <w:spacing w:after="10" w:line="240" w:lineRule="auto"/>
            </w:pPr>
            <w:r>
              <w:rPr>
                <w:b/>
                <w:i w:val="0"/>
                <w:color w:val="1A2E55"/>
                <w:sz w:val="16"/>
              </w:rPr>
              <w:t xml:space="preserve">In short (AI-written, checked)  </w:t>
            </w:r>
            <w:r>
              <w:rPr>
                <w:b w:val="0"/>
                <w:i w:val="0"/>
                <w:sz w:val="16"/>
              </w:rPr>
              <w:t>CapitaLand Integrated Commercial Trust fell 0.9% over 03–09 Sep and slipped 0.9% today, while its biggest single day was a gain of +0.9% on Fri 04 Sep. The news-and-signals reading was positive, but the price moved in the opposite direction and the news does not explain the move. The forecast model expects a rise, but its record is only a weak signal and the chance is 99%.</w:t>
            </w:r>
          </w:p>
          <w:p>
            <w:pPr>
              <w:spacing w:after="10" w:line="240" w:lineRule="auto"/>
            </w:pPr>
            <w:r>
              <w:rPr>
                <w:b/>
                <w:i w:val="0"/>
                <w:color w:val="1A2E55"/>
                <w:sz w:val="16"/>
              </w:rPr>
              <w:t xml:space="preserve">What happened  </w:t>
            </w:r>
            <w:r>
              <w:rPr>
                <w:b w:val="0"/>
                <w:i w:val="0"/>
                <w:sz w:val="16"/>
              </w:rPr>
              <w:t>Fell 0.9% over 03–09 Sep; its biggest day was Fri 04 Sep (+0.9%). Today -0.9%.</w:t>
            </w:r>
          </w:p>
          <w:p>
            <w:pPr>
              <w:spacing w:after="10" w:line="240" w:lineRule="auto"/>
            </w:pPr>
            <w:r>
              <w:rPr>
                <w:b/>
                <w:i w:val="0"/>
                <w:color w:val="1A2E55"/>
                <w:sz w:val="16"/>
              </w:rPr>
              <w:t xml:space="preserve">Today: news vs price  </w:t>
            </w:r>
            <w:r>
              <w:rPr>
                <w:b w:val="0"/>
                <w:i w:val="0"/>
                <w:sz w:val="16"/>
              </w:rPr>
              <w:t>Positive reading, but the price fell 0.9%: the price went against the news. The forecast model sides with the news. (Pattern: Lag.)</w:t>
            </w:r>
          </w:p>
          <w:p>
            <w:pPr>
              <w:spacing w:after="10" w:line="240" w:lineRule="auto"/>
            </w:pPr>
            <w:r>
              <w:rPr>
                <w:b/>
                <w:i w:val="0"/>
                <w:color w:val="1A2E55"/>
                <w:sz w:val="16"/>
              </w:rPr>
              <w:t xml:space="preserve">Last 5 days in context  </w:t>
            </w:r>
            <w:r>
              <w:rPr>
                <w:b w:val="0"/>
                <w:i w:val="0"/>
                <w:sz w:val="16"/>
              </w:rPr>
              <w:t>Company news collected today was mostly positive; the price fell 0.9% over 03–09 Sep, its 3 sector peers -1.1% on average, and the 15 stocks -0.5% on average. So it barely moved over the period.</w:t>
            </w:r>
          </w:p>
          <w:p>
            <w:pPr>
              <w:spacing w:after="10" w:line="240" w:lineRule="auto"/>
            </w:pPr>
            <w:r>
              <w:rPr>
                <w:b/>
                <w:i w:val="0"/>
                <w:color w:val="1A2E55"/>
                <w:sz w:val="16"/>
              </w:rPr>
              <w:t xml:space="preserve">News today  </w:t>
            </w:r>
            <w:r>
              <w:rPr>
                <w:b w:val="0"/>
                <w:i w:val="0"/>
                <w:sz w:val="16"/>
              </w:rPr>
              <w:t>25 articles collected today: 11 positive, 6 negative, 8 neutral (mostly positive). Event tags: dividend, earnings, merger or acquisition, upgrade.</w:t>
            </w:r>
          </w:p>
          <w:p>
            <w:pPr>
              <w:spacing w:after="10" w:line="240" w:lineRule="auto"/>
            </w:pPr>
            <w:r>
              <w:rPr>
                <w:b/>
                <w:i w:val="0"/>
                <w:color w:val="1A2E55"/>
                <w:sz w:val="16"/>
              </w:rPr>
              <w:t xml:space="preserve">Headlines  </w:t>
            </w:r>
            <w:r>
              <w:rPr>
                <w:b w:val="0"/>
                <w:i w:val="0"/>
                <w:sz w:val="16"/>
              </w:rPr>
              <w:t>− “CapitaLand Integrated Commercial Trust (SGX:C38U) Stock Lags Its Strongest Half Yet” (simplywall.st, 13 Aug)</w:t>
            </w:r>
          </w:p>
          <w:p>
            <w:pPr>
              <w:spacing w:after="10" w:line="240" w:lineRule="auto"/>
            </w:pPr>
            <w:r>
              <w:rPr>
                <w:b/>
                <w:i w:val="0"/>
                <w:color w:val="1A2E55"/>
                <w:sz w:val="16"/>
              </w:rPr>
              <w:t xml:space="preserve">Price chart  </w:t>
            </w:r>
            <w:r>
              <w:rPr>
                <w:b w:val="0"/>
                <w:i w:val="0"/>
                <w:sz w:val="16"/>
              </w:rPr>
              <w:t>RSI 33, between 30 and 70: no unusually fast move.</w:t>
            </w:r>
          </w:p>
          <w:p>
            <w:pPr>
              <w:spacing w:after="10" w:line="240" w:lineRule="auto"/>
            </w:pPr>
            <w:r>
              <w:rPr>
                <w:b/>
                <w:i w:val="0"/>
                <w:color w:val="1A2E55"/>
                <w:sz w:val="16"/>
              </w:rPr>
              <w:t xml:space="preserve">News &amp; signals reading  </w:t>
            </w:r>
            <w:r>
              <w:rPr>
                <w:b w:val="0"/>
                <w:i w:val="0"/>
                <w:sz w:val="16"/>
              </w:rPr>
              <w:t>Positive today (score +0.39; positive above +0.35, negative below −0.35), and on all 3 earlier recorded days. It needs both 'Earnings/dividend headlines' and the positive news: without either it would be neutral.</w:t>
            </w:r>
          </w:p>
          <w:p>
            <w:pPr>
              <w:spacing w:after="10" w:line="240" w:lineRule="auto"/>
            </w:pPr>
            <w:r>
              <w:rPr>
                <w:b/>
                <w:i w:val="0"/>
                <w:color w:val="1A2E55"/>
                <w:sz w:val="16"/>
              </w:rPr>
              <w:t xml:space="preserve">Rules behind the reading  </w:t>
            </w:r>
            <w:r>
              <w:rPr>
                <w:b w:val="0"/>
                <w:i w:val="0"/>
                <w:sz w:val="16"/>
              </w:rPr>
              <w:t>Up: earnings/dividend headlines +0.20, positive company news +0.18. Market-wide: political news +0.01 (unreliable, section 5).</w:t>
            </w:r>
          </w:p>
          <w:p>
            <w:pPr>
              <w:spacing w:after="10" w:line="240" w:lineRule="auto"/>
            </w:pPr>
            <w:r>
              <w:rPr>
                <w:b/>
                <w:i w:val="0"/>
                <w:color w:val="1A2E55"/>
                <w:sz w:val="16"/>
              </w:rPr>
              <w:t xml:space="preserve">AI summary of the evidence (checked)  </w:t>
            </w:r>
            <w:r>
              <w:rPr>
                <w:b w:val="0"/>
                <w:i w:val="0"/>
                <w:sz w:val="16"/>
              </w:rPr>
              <w:t>CapitaLand Integrated Commercial Trust maintains a positive outlook, driven by a positive geopolitical backdrop, strong corporate events such as the S$160 million Plaza Singapura upgrade, and robust first‑quarter results. Momentum indicators like RSI and a price above VWAP reinforce this stance, while positive news sentiment adds further support. However, elevated political news volume and higher VIX levels introduce caution, suggesting that geopolitical tensions and market volatility could temper gains.</w:t>
            </w:r>
          </w:p>
          <w:p>
            <w:pPr>
              <w:spacing w:after="10" w:line="240" w:lineRule="auto"/>
            </w:pPr>
            <w:r>
              <w:rPr>
                <w:b/>
                <w:i w:val="0"/>
                <w:color w:val="1A2E55"/>
                <w:sz w:val="16"/>
              </w:rPr>
              <w:t xml:space="preserve">Forecast lean  </w:t>
            </w:r>
            <w:r>
              <w:rPr>
                <w:b w:val="0"/>
                <w:i w:val="0"/>
                <w:sz w:val="16"/>
              </w:rPr>
              <w:t>Rise over the next 3 trading days (chance 99%); its normal 3-day swing is ±1.2%. Past record on this stock: ✓, but rise-or-fall calls marked ✓ were right only 28%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ST Engineering</w:t>
            </w:r>
            <w:r>
              <w:rPr>
                <w:b w:val="0"/>
                <w:i w:val="0"/>
                <w:color w:val="52514E"/>
                <w:sz w:val="17"/>
              </w:rPr>
              <w:t xml:space="preserve">   Industrials  ·  -1.1% over 03–09 Sep</w:t>
            </w:r>
          </w:p>
          <w:p>
            <w:pPr>
              <w:spacing w:after="10" w:line="240" w:lineRule="auto"/>
            </w:pPr>
            <w:r>
              <w:rPr>
                <w:b/>
                <w:i w:val="0"/>
                <w:color w:val="1A2E55"/>
                <w:sz w:val="16"/>
              </w:rPr>
              <w:t xml:space="preserve">In short (AI-written, checked)  </w:t>
            </w:r>
            <w:r>
              <w:rPr>
                <w:b w:val="0"/>
                <w:i w:val="0"/>
                <w:sz w:val="16"/>
              </w:rPr>
              <w:t>ST Engineering fell 1.1% over 03–09 Sep and edged up 0.3% today, after a dip of -0.8% on Mon 07 Sep. The news-and-signals reading was neutral and the news does not clearly explain the move. The forecast model predicts a rise, but its record is only a weak signal and the chance is 95%.</w:t>
            </w:r>
          </w:p>
          <w:p>
            <w:pPr>
              <w:spacing w:after="10" w:line="240" w:lineRule="auto"/>
            </w:pPr>
            <w:r>
              <w:rPr>
                <w:b/>
                <w:i w:val="0"/>
                <w:color w:val="1A2E55"/>
                <w:sz w:val="16"/>
              </w:rPr>
              <w:t xml:space="preserve">What happened  </w:t>
            </w:r>
            <w:r>
              <w:rPr>
                <w:b w:val="0"/>
                <w:i w:val="0"/>
                <w:sz w:val="16"/>
              </w:rPr>
              <w:t>Fell 1.1% over 03–09 Sep; its biggest day was Mon 07 Sep (-0.8%). Today +0.3%.</w:t>
            </w:r>
          </w:p>
          <w:p>
            <w:pPr>
              <w:spacing w:after="10" w:line="240" w:lineRule="auto"/>
            </w:pPr>
            <w:r>
              <w:rPr>
                <w:b/>
                <w:i w:val="0"/>
                <w:color w:val="1A2E55"/>
                <w:sz w:val="16"/>
              </w:rPr>
              <w:t xml:space="preserve">Today: news vs price  </w:t>
            </w:r>
            <w:r>
              <w:rPr>
                <w:b w:val="0"/>
                <w:i w:val="0"/>
                <w:sz w:val="16"/>
              </w:rPr>
              <w:t>No news signal today (neutral reading); the price rose 0.3%. The forecast model still leans 'rise'. (Pattern: Model-only view.)</w:t>
            </w:r>
          </w:p>
          <w:p>
            <w:pPr>
              <w:spacing w:after="10" w:line="240" w:lineRule="auto"/>
            </w:pPr>
            <w:r>
              <w:rPr>
                <w:b/>
                <w:i w:val="0"/>
                <w:color w:val="1A2E55"/>
                <w:sz w:val="16"/>
              </w:rPr>
              <w:t xml:space="preserve">Last 5 days in context  </w:t>
            </w:r>
            <w:r>
              <w:rPr>
                <w:b w:val="0"/>
                <w:i w:val="0"/>
                <w:sz w:val="16"/>
              </w:rPr>
              <w:t>Company news collected today was mixed; the price fell 1.1% over 03–09 Sep, its 2 sector peers +2.0% on average, and the 15 stocks -0.5% on average. So there is no company story in the news, and the stock moved more than the market; sector or wider news, outside this report's sources, is the place to look.</w:t>
            </w:r>
          </w:p>
          <w:p>
            <w:pPr>
              <w:spacing w:after="10" w:line="240" w:lineRule="auto"/>
            </w:pPr>
            <w:r>
              <w:rPr>
                <w:b/>
                <w:i w:val="0"/>
                <w:color w:val="1A2E55"/>
                <w:sz w:val="16"/>
              </w:rPr>
              <w:t xml:space="preserve">News today  </w:t>
            </w:r>
            <w:r>
              <w:rPr>
                <w:b w:val="0"/>
                <w:i w:val="0"/>
                <w:sz w:val="16"/>
              </w:rPr>
              <w:t>49 articles collected today: 17 positive, 10 negative, 22 neutral (mixed). Event tags: dividend, earnings, merger or acquisition, management change.</w:t>
            </w:r>
          </w:p>
          <w:p>
            <w:pPr>
              <w:spacing w:after="10" w:line="240" w:lineRule="auto"/>
            </w:pPr>
            <w:r>
              <w:rPr>
                <w:b/>
                <w:i w:val="0"/>
                <w:color w:val="1A2E55"/>
                <w:sz w:val="16"/>
              </w:rPr>
              <w:t xml:space="preserve">Headlines  </w:t>
            </w:r>
            <w:r>
              <w:rPr>
                <w:b w:val="0"/>
                <w:i w:val="0"/>
                <w:sz w:val="16"/>
              </w:rPr>
              <w:t>+ “Singapore Technologies Engineering (SGX:S63) Stock Revenue Climbs While Margins Thin” (simplywall.st, 13 Aug)   − “Wall St mixed at open as Gulf tensions send oil to over six-week high” (Business Times, 08 Sep)</w:t>
            </w:r>
          </w:p>
          <w:p>
            <w:pPr>
              <w:spacing w:after="10" w:line="240" w:lineRule="auto"/>
            </w:pPr>
            <w:r>
              <w:rPr>
                <w:b/>
                <w:i w:val="0"/>
                <w:color w:val="1A2E55"/>
                <w:sz w:val="16"/>
              </w:rPr>
              <w:t xml:space="preserve">Price chart  </w:t>
            </w:r>
            <w:r>
              <w:rPr>
                <w:b w:val="0"/>
                <w:i w:val="0"/>
                <w:sz w:val="16"/>
              </w:rPr>
              <w:t>RSI 45, between 30 and 70: no unusually fast move.</w:t>
            </w:r>
          </w:p>
          <w:p>
            <w:pPr>
              <w:spacing w:after="10" w:line="240" w:lineRule="auto"/>
            </w:pPr>
            <w:r>
              <w:rPr>
                <w:b/>
                <w:i w:val="0"/>
                <w:color w:val="1A2E55"/>
                <w:sz w:val="16"/>
              </w:rPr>
              <w:t xml:space="preserve">News &amp; signals reading  </w:t>
            </w:r>
            <w:r>
              <w:rPr>
                <w:b w:val="0"/>
                <w:i w:val="0"/>
                <w:sz w:val="16"/>
              </w:rPr>
              <w:t>Neutral today (score +0.21; positive above +0.35, negative below −0.35), but on none of the 4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Market-wide: political news +0.01 (unreliable, section 5).</w:t>
            </w:r>
          </w:p>
          <w:p>
            <w:pPr>
              <w:spacing w:after="10" w:line="240" w:lineRule="auto"/>
            </w:pPr>
            <w:r>
              <w:rPr>
                <w:b/>
                <w:i w:val="0"/>
                <w:color w:val="1A2E55"/>
                <w:sz w:val="16"/>
              </w:rPr>
              <w:t xml:space="preserve">AI summary of the evidence (checked)  </w:t>
            </w:r>
            <w:r>
              <w:rPr>
                <w:b w:val="0"/>
                <w:i w:val="0"/>
                <w:sz w:val="16"/>
              </w:rPr>
              <w:t>ST Engineering’s outlook remains neutral as rule-based analysis balances a positive geopolitical backdrop and positive corporate events against a decisive negative signal from elevated political news volume. ML-model explanations from both LogReg and RandomForest models reinforce a positive bias, citing higher news coverage volume, VIX, and RSI momentum, yet the political news volume still dampens the upside. Recent headlines such as the Gulf oil surge and the US$750 million notes issuance add layers of uncertainty, while the macro warning of a potential recession from prolonged Iran conflict underscores geopolitical risk. Though machine learning models predict a positive move, the rule-based framework keeps the stance neutral, reflecting the mixed signals in the market environment.</w:t>
            </w:r>
          </w:p>
          <w:p>
            <w:pPr>
              <w:spacing w:after="10" w:line="240" w:lineRule="auto"/>
            </w:pPr>
            <w:r>
              <w:rPr>
                <w:b/>
                <w:i w:val="0"/>
                <w:color w:val="1A2E55"/>
                <w:sz w:val="16"/>
              </w:rPr>
              <w:t xml:space="preserve">Forecast lean  </w:t>
            </w:r>
            <w:r>
              <w:rPr>
                <w:b w:val="0"/>
                <w:i w:val="0"/>
                <w:sz w:val="16"/>
              </w:rPr>
              <w:t>Rise over the next 3 trading days (chance 95%); its normal 3-day swing is ±2.9%. Past record on this stock: ✓, but rise-or-fall calls marked ✓ were right only 28%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Wilmar International</w:t>
            </w:r>
            <w:r>
              <w:rPr>
                <w:b w:val="0"/>
                <w:i w:val="0"/>
                <w:color w:val="52514E"/>
                <w:sz w:val="17"/>
              </w:rPr>
              <w:t xml:space="preserve">   Consumer Goods  ·  -2.9% over 03–09 Sep</w:t>
            </w:r>
          </w:p>
          <w:p>
            <w:pPr>
              <w:spacing w:after="10" w:line="240" w:lineRule="auto"/>
            </w:pPr>
            <w:r>
              <w:rPr>
                <w:b/>
                <w:i w:val="0"/>
                <w:color w:val="1A2E55"/>
                <w:sz w:val="16"/>
              </w:rPr>
              <w:t xml:space="preserve">In short (AI-written, checked)  </w:t>
            </w:r>
            <w:r>
              <w:rPr>
                <w:b w:val="0"/>
                <w:i w:val="0"/>
                <w:sz w:val="16"/>
              </w:rPr>
              <w:t>Wilmar International fell 2.9% over 03–09 Sep and stayed flat +0.0% today, after a drop of -1.8% on Tue 08 Sep. The news-and-signals reading was neutral and the news does not clearly explain the move. The forecast model expects a rise, but its record is only a weak signal and the chance is 98%.</w:t>
            </w:r>
          </w:p>
          <w:p>
            <w:pPr>
              <w:spacing w:after="10" w:line="240" w:lineRule="auto"/>
            </w:pPr>
            <w:r>
              <w:rPr>
                <w:b/>
                <w:i w:val="0"/>
                <w:color w:val="1A2E55"/>
                <w:sz w:val="16"/>
              </w:rPr>
              <w:t xml:space="preserve">What happened  </w:t>
            </w:r>
            <w:r>
              <w:rPr>
                <w:b w:val="0"/>
                <w:i w:val="0"/>
                <w:sz w:val="16"/>
              </w:rPr>
              <w:t>Fell 2.9% over 03–09 Sep, most of it on Tue 08 Sep (-1.8%). Today +0.0%.</w:t>
            </w:r>
          </w:p>
          <w:p>
            <w:pPr>
              <w:spacing w:after="10" w:line="240" w:lineRule="auto"/>
            </w:pPr>
            <w:r>
              <w:rPr>
                <w:b/>
                <w:i w:val="0"/>
                <w:color w:val="1A2E55"/>
                <w:sz w:val="16"/>
              </w:rPr>
              <w:t xml:space="preserve">Today: news vs price  </w:t>
            </w:r>
            <w:r>
              <w:rPr>
                <w:b w:val="0"/>
                <w:i w:val="0"/>
                <w:sz w:val="16"/>
              </w:rPr>
              <w:t>No news signal today (neutral reading); the price was unchanged. The forecast model still leans 'rise'. (Pattern: Model-only view.)</w:t>
            </w:r>
          </w:p>
          <w:p>
            <w:pPr>
              <w:spacing w:after="10" w:line="240" w:lineRule="auto"/>
            </w:pPr>
            <w:r>
              <w:rPr>
                <w:b/>
                <w:i w:val="0"/>
                <w:color w:val="1A2E55"/>
                <w:sz w:val="16"/>
              </w:rPr>
              <w:t xml:space="preserve">Last 5 days in context  </w:t>
            </w:r>
            <w:r>
              <w:rPr>
                <w:b w:val="0"/>
                <w:i w:val="0"/>
                <w:sz w:val="16"/>
              </w:rPr>
              <w:t>Company news collected today was mixed; the price fell 2.9% over 03–09 Sep, its sector peer ComfortDelGro +0.8%, and the 15 stocks -0.5% on average. So there is no company story in the news, and the stock moved more than the market; sector or wider news, outside this report's sources, is the place to look.</w:t>
            </w:r>
          </w:p>
          <w:p>
            <w:pPr>
              <w:spacing w:after="10" w:line="240" w:lineRule="auto"/>
            </w:pPr>
            <w:r>
              <w:rPr>
                <w:b/>
                <w:i w:val="0"/>
                <w:color w:val="1A2E55"/>
                <w:sz w:val="16"/>
              </w:rPr>
              <w:t xml:space="preserve">News today  </w:t>
            </w:r>
            <w:r>
              <w:rPr>
                <w:b w:val="0"/>
                <w:i w:val="0"/>
                <w:sz w:val="16"/>
              </w:rPr>
              <w:t>23 articles collected today: 2 positive, 5 negative, 16 neutral (mixed). Event tags: dividend, earnings, merger or acquisition, upgrade, profit warning.</w:t>
            </w:r>
          </w:p>
          <w:p>
            <w:pPr>
              <w:spacing w:after="10" w:line="240" w:lineRule="auto"/>
            </w:pPr>
            <w:r>
              <w:rPr>
                <w:b/>
                <w:i w:val="0"/>
                <w:color w:val="1A2E55"/>
                <w:sz w:val="16"/>
              </w:rPr>
              <w:t xml:space="preserve">Headlines  </w:t>
            </w:r>
            <w:r>
              <w:rPr>
                <w:b w:val="0"/>
                <w:i w:val="0"/>
                <w:sz w:val="16"/>
              </w:rPr>
              <w:t>+ “Is Wilmar’s Higher Interim Dividend Signaling a Shift in Capital Allocation Priorities for S…” (simplywall.st, 16 Aug)</w:t>
            </w:r>
          </w:p>
          <w:p>
            <w:pPr>
              <w:spacing w:after="10" w:line="240" w:lineRule="auto"/>
            </w:pPr>
            <w:r>
              <w:rPr>
                <w:b/>
                <w:i w:val="0"/>
                <w:color w:val="1A2E55"/>
                <w:sz w:val="16"/>
              </w:rPr>
              <w:t xml:space="preserve">Price chart  </w:t>
            </w:r>
            <w:r>
              <w:rPr>
                <w:b w:val="0"/>
                <w:i w:val="0"/>
                <w:sz w:val="16"/>
              </w:rPr>
              <w:t>RSI 44, between 30 and 70: no unusually fast move; short-term trend turned down (MACD); price above its volume-weighted average.</w:t>
            </w:r>
          </w:p>
          <w:p>
            <w:pPr>
              <w:spacing w:after="10" w:line="240" w:lineRule="auto"/>
            </w:pPr>
            <w:r>
              <w:rPr>
                <w:b/>
                <w:i w:val="0"/>
                <w:color w:val="1A2E55"/>
                <w:sz w:val="16"/>
              </w:rPr>
              <w:t xml:space="preserve">News &amp; signals reading  </w:t>
            </w:r>
            <w:r>
              <w:rPr>
                <w:b w:val="0"/>
                <w:i w:val="0"/>
                <w:sz w:val="16"/>
              </w:rPr>
              <w:t>Neutral today (score +0.11; positive above +0.35, negative below −0.35), and on 1 of the 4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above average price +0.02. Down: trend turned down −0.07, warning/downgrade headlines −0.06. Market-wide: political news +0.01 (unreliable, section 5).</w:t>
            </w:r>
          </w:p>
          <w:p>
            <w:pPr>
              <w:spacing w:after="10" w:line="240" w:lineRule="auto"/>
            </w:pPr>
            <w:r>
              <w:rPr>
                <w:b/>
                <w:i w:val="0"/>
                <w:color w:val="1A2E55"/>
                <w:sz w:val="16"/>
              </w:rPr>
              <w:t xml:space="preserve">AI summary of the evidence (checked)  </w:t>
            </w:r>
            <w:r>
              <w:rPr>
                <w:b w:val="0"/>
                <w:i w:val="0"/>
                <w:sz w:val="16"/>
              </w:rPr>
              <w:t>Wilmar International’s outlook remains neutral, driven by a positive geopolitical backdrop and positive corporate events, yet tempered by elevated political news volume and a MACD negative crossover. ML-model analysis from both LogReg and RandomForest models highlights VIX and RSI as key momentum indicators, while the LogReg model leans positive and the RandomForest model stays neutral, underscoring model disagreement. Recent headlines show a 25% loss over five years and a dip due to palm oil futures, balanced by a 6% uptick driven by market sentiment. The combination of macro‑neutral conditions and sector‑specific volatility suggests a cautious stance, with contradictions noted between linear and non‑linear model predictions. Overall, the stock’s neutral stance reflects a balance of supportive and adverse signals.</w:t>
            </w:r>
          </w:p>
          <w:p>
            <w:pPr>
              <w:spacing w:after="10" w:line="240" w:lineRule="auto"/>
            </w:pPr>
            <w:r>
              <w:rPr>
                <w:b/>
                <w:i w:val="0"/>
                <w:color w:val="1A2E55"/>
                <w:sz w:val="16"/>
              </w:rPr>
              <w:t xml:space="preserve">Forecast lean  </w:t>
            </w:r>
            <w:r>
              <w:rPr>
                <w:b w:val="0"/>
                <w:i w:val="0"/>
                <w:sz w:val="16"/>
              </w:rPr>
              <w:t>Rise over the next 3 trading days (chance 98%); its normal 3-day swing is ±3.0%. Past record on this stock: ✓, but rise-or-fall calls marked ✓ were right only 28% in testing, so treat the direction as unknown.</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±1.1%</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&gt;99%</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Ascendas REIT</w:t>
            </w:r>
          </w:p>
        </w:tc>
        <w:tc>
          <w:tcPr>
            <w:tcW w:type="dxa" w:w="1368"/>
          </w:tcPr>
          <w:p>
            <w:pPr>
              <w:keepNext/>
              <w:jc w:val="right"/>
            </w:pPr>
            <w:r>
              <w:rPr>
                <w:b w:val="0"/>
                <w:i w:val="0"/>
                <w:sz w:val="16"/>
              </w:rPr>
              <w:t>±1.2%</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60%</w:t>
            </w:r>
          </w:p>
        </w:tc>
        <w:tc>
          <w:tcPr>
            <w:tcW w:type="dxa" w:w="2016"/>
            <w:shd w:val="clear" w:color="auto" w:fill="E4F3E4"/>
          </w:tcPr>
          <w:p>
            <w:pPr>
              <w:keepNext/>
            </w:pPr>
            <w:r>
              <w:rPr>
                <w:b/>
                <w:i w:val="0"/>
                <w:color w:val="0A6E0A"/>
                <w:sz w:val="16"/>
              </w:rPr>
              <w:t>+17 pts ✓</w:t>
            </w:r>
          </w:p>
        </w:tc>
      </w:tr>
      <w:tr>
        <w:tc>
          <w:tcPr>
            <w:tcW w:type="dxa" w:w="2664"/>
            <w:shd w:val="clear" w:color="auto" w:fill="F7F7F5"/>
          </w:tcPr>
          <w:p>
            <w:pPr>
              <w:keepNext/>
            </w:pPr>
            <w:r>
              <w:rPr>
                <w:b w:val="0"/>
                <w:i w:val="0"/>
                <w:sz w:val="16"/>
              </w:rPr>
              <w:t>CapitaLand Integ. Comm. Trust</w:t>
            </w:r>
          </w:p>
        </w:tc>
        <w:tc>
          <w:tcPr>
            <w:tcW w:type="dxa" w:w="1368"/>
            <w:shd w:val="clear" w:color="auto" w:fill="F7F7F5"/>
          </w:tcPr>
          <w:p>
            <w:pPr>
              <w:keepNext/>
              <w:jc w:val="right"/>
            </w:pPr>
            <w:r>
              <w:rPr>
                <w:b w:val="0"/>
                <w:i w:val="0"/>
                <w:sz w:val="16"/>
              </w:rPr>
              <w:t>±1.2%</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UOB</w:t>
            </w:r>
          </w:p>
        </w:tc>
        <w:tc>
          <w:tcPr>
            <w:tcW w:type="dxa" w:w="1368"/>
          </w:tcPr>
          <w:p>
            <w:pPr>
              <w:keepNext/>
              <w:jc w:val="right"/>
            </w:pPr>
            <w:r>
              <w:rPr>
                <w:b w:val="0"/>
                <w:i w:val="0"/>
                <w:sz w:val="16"/>
              </w:rPr>
              <w:t>±1.3%</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98%</w:t>
            </w:r>
          </w:p>
        </w:tc>
        <w:tc>
          <w:tcPr>
            <w:tcW w:type="dxa" w:w="2016"/>
            <w:shd w:val="clear" w:color="auto" w:fill="FBE1E0"/>
          </w:tcPr>
          <w:p>
            <w:pPr>
              <w:keepNext/>
            </w:pPr>
            <w:r>
              <w:rPr>
                <w:b/>
                <w:i w:val="0"/>
                <w:color w:val="A12D2C"/>
                <w:sz w:val="16"/>
              </w:rPr>
              <w:t>−42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92%</w:t>
            </w:r>
          </w:p>
        </w:tc>
        <w:tc>
          <w:tcPr>
            <w:tcW w:type="dxa" w:w="2016"/>
            <w:shd w:val="clear" w:color="auto" w:fill="FBE1E0"/>
          </w:tcPr>
          <w:p>
            <w:pPr>
              <w:keepNext/>
            </w:pPr>
            <w:r>
              <w:rPr>
                <w:b/>
                <w:i w:val="0"/>
                <w:color w:val="A12D2C"/>
                <w:sz w:val="16"/>
              </w:rPr>
              <w:t>−8 pts ✗</w:t>
            </w:r>
          </w:p>
        </w:tc>
      </w:tr>
      <w:tr>
        <w:tc>
          <w:tcPr>
            <w:tcW w:type="dxa" w:w="2664"/>
          </w:tcPr>
          <w:p>
            <w:pPr>
              <w:keepNext/>
            </w:pPr>
            <w:r>
              <w:rPr>
                <w:b w:val="0"/>
                <w:i w:val="0"/>
                <w:sz w:val="16"/>
              </w:rPr>
              <w:t>DBS Group</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71%</w:t>
            </w:r>
          </w:p>
        </w:tc>
        <w:tc>
          <w:tcPr>
            <w:tcW w:type="dxa" w:w="2016"/>
            <w:shd w:val="clear" w:color="auto" w:fill="FBE1E0"/>
          </w:tcPr>
          <w:p>
            <w:pPr>
              <w:keepNext/>
            </w:pPr>
            <w:r>
              <w:rPr>
                <w:b/>
                <w:i w:val="0"/>
                <w:color w:val="A12D2C"/>
                <w:sz w:val="16"/>
              </w:rPr>
              <w:t>−8 pts ✗</w:t>
            </w:r>
          </w:p>
        </w:tc>
      </w:tr>
      <w:tr>
        <w:tc>
          <w:tcPr>
            <w:tcW w:type="dxa" w:w="2664"/>
            <w:shd w:val="clear" w:color="auto" w:fill="F7F7F5"/>
          </w:tcPr>
          <w:p>
            <w:pPr>
              <w:keepNext/>
            </w:pPr>
            <w:r>
              <w:rPr>
                <w:b w:val="0"/>
                <w:i w:val="0"/>
                <w:sz w:val="16"/>
              </w:rPr>
              <w:t>ComfortDelGro</w:t>
            </w:r>
          </w:p>
        </w:tc>
        <w:tc>
          <w:tcPr>
            <w:tcW w:type="dxa" w:w="1368"/>
            <w:shd w:val="clear" w:color="auto" w:fill="F7F7F5"/>
          </w:tcPr>
          <w:p>
            <w:pPr>
              <w:keepNext/>
              <w:jc w:val="right"/>
            </w:pPr>
            <w:r>
              <w:rPr>
                <w:b w:val="0"/>
                <w:i w:val="0"/>
                <w:sz w:val="16"/>
              </w:rPr>
              <w:t>±1.5%</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79%</w:t>
            </w:r>
          </w:p>
        </w:tc>
        <w:tc>
          <w:tcPr>
            <w:tcW w:type="dxa" w:w="2016"/>
            <w:shd w:val="clear" w:color="auto" w:fill="FBE1E0"/>
          </w:tcPr>
          <w:p>
            <w:pPr>
              <w:keepNext/>
            </w:pPr>
            <w:r>
              <w:rPr>
                <w:b/>
                <w:i w:val="0"/>
                <w:color w:val="A12D2C"/>
                <w:sz w:val="16"/>
              </w:rPr>
              <w:t>−33 pts ✗</w:t>
            </w:r>
          </w:p>
        </w:tc>
      </w:tr>
      <w:tr>
        <w:tc>
          <w:tcPr>
            <w:tcW w:type="dxa" w:w="2664"/>
          </w:tcPr>
          <w:p>
            <w:pPr>
              <w:keepNext/>
            </w:pPr>
            <w:r>
              <w:rPr>
                <w:b w:val="0"/>
                <w:i w:val="0"/>
                <w:sz w:val="16"/>
              </w:rPr>
              <w:t>SGX Group</w:t>
            </w:r>
          </w:p>
        </w:tc>
        <w:tc>
          <w:tcPr>
            <w:tcW w:type="dxa" w:w="1368"/>
          </w:tcPr>
          <w:p>
            <w:pPr>
              <w:keepNext/>
              <w:jc w:val="right"/>
            </w:pPr>
            <w:r>
              <w:rPr>
                <w:b w:val="0"/>
                <w:i w:val="0"/>
                <w:sz w:val="16"/>
              </w:rPr>
              <w:t>±1.8%</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86%</w:t>
            </w:r>
          </w:p>
        </w:tc>
        <w:tc>
          <w:tcPr>
            <w:tcW w:type="dxa" w:w="2016"/>
            <w:shd w:val="clear" w:color="auto" w:fill="FBE1E0"/>
          </w:tcPr>
          <w:p>
            <w:pPr>
              <w:keepNext/>
            </w:pPr>
            <w:r>
              <w:rPr>
                <w:b/>
                <w:i w:val="0"/>
                <w:color w:val="A12D2C"/>
                <w:sz w:val="16"/>
              </w:rPr>
              <w:t>−25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&gt;99%</w:t>
            </w:r>
          </w:p>
        </w:tc>
        <w:tc>
          <w:tcPr>
            <w:tcW w:type="dxa" w:w="2016"/>
            <w:shd w:val="clear" w:color="auto" w:fill="FBE1E0"/>
          </w:tcPr>
          <w:p>
            <w:pPr>
              <w:keepNext/>
            </w:pPr>
            <w:r>
              <w:rPr>
                <w:b/>
                <w:i w:val="0"/>
                <w:color w:val="A12D2C"/>
                <w:sz w:val="16"/>
              </w:rPr>
              <w:t>−17 pts ✗</w:t>
            </w:r>
          </w:p>
        </w:tc>
      </w:tr>
      <w:tr>
        <w:tc>
          <w:tcPr>
            <w:tcW w:type="dxa" w:w="2664"/>
          </w:tcPr>
          <w:p>
            <w:pPr>
              <w:keepNext/>
            </w:pPr>
            <w:r>
              <w:rPr>
                <w:b w:val="0"/>
                <w:i w:val="0"/>
                <w:sz w:val="16"/>
              </w:rPr>
              <w:t>Keppel Corp</w:t>
            </w:r>
          </w:p>
        </w:tc>
        <w:tc>
          <w:tcPr>
            <w:tcW w:type="dxa" w:w="1368"/>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98%</w:t>
            </w:r>
          </w:p>
        </w:tc>
        <w:tc>
          <w:tcPr>
            <w:tcW w:type="dxa" w:w="2016"/>
            <w:shd w:val="clear" w:color="auto" w:fill="FBE1E0"/>
          </w:tcPr>
          <w:p>
            <w:pPr>
              <w:keepNext/>
            </w:pPr>
            <w:r>
              <w:rPr>
                <w:b/>
                <w:i w:val="0"/>
                <w:color w:val="A12D2C"/>
                <w:sz w:val="16"/>
              </w:rPr>
              <w:t>−8 pts ✗</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±2.3%</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40%</w:t>
            </w:r>
          </w:p>
        </w:tc>
        <w:tc>
          <w:tcPr>
            <w:tcW w:type="dxa" w:w="2016"/>
            <w:shd w:val="clear" w:color="auto" w:fill="FBE1E0"/>
          </w:tcPr>
          <w:p>
            <w:pPr>
              <w:keepNext/>
            </w:pPr>
            <w:r>
              <w:rPr>
                <w:b/>
                <w:i w:val="0"/>
                <w:color w:val="A12D2C"/>
                <w:sz w:val="16"/>
              </w:rPr>
              <w:t>−33 pts ✗</w:t>
            </w:r>
          </w:p>
        </w:tc>
      </w:tr>
      <w:tr>
        <w:tc>
          <w:tcPr>
            <w:tcW w:type="dxa" w:w="2664"/>
          </w:tcPr>
          <w:p>
            <w:pPr>
              <w:keepNext/>
            </w:pPr>
            <w:r>
              <w:rPr>
                <w:b w:val="0"/>
                <w:i w:val="0"/>
                <w:sz w:val="16"/>
              </w:rPr>
              <w:t>Sembcorp Industries</w:t>
            </w:r>
          </w:p>
        </w:tc>
        <w:tc>
          <w:tcPr>
            <w:tcW w:type="dxa" w:w="1368"/>
          </w:tcPr>
          <w:p>
            <w:pPr>
              <w:keepNext/>
              <w:jc w:val="right"/>
            </w:pPr>
            <w:r>
              <w:rPr>
                <w:b w:val="0"/>
                <w:i w:val="0"/>
                <w:sz w:val="16"/>
              </w:rPr>
              <w:t>±2.8%</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97%</w:t>
            </w:r>
          </w:p>
        </w:tc>
        <w:tc>
          <w:tcPr>
            <w:tcW w:type="dxa" w:w="2016"/>
            <w:shd w:val="clear" w:color="auto" w:fill="E4F3E4"/>
          </w:tcPr>
          <w:p>
            <w:pPr>
              <w:keepNext/>
            </w:pPr>
            <w:r>
              <w:rPr>
                <w:b/>
                <w:i w:val="0"/>
                <w:color w:val="0A6E0A"/>
                <w:sz w:val="16"/>
              </w:rPr>
              <w:t>+8 pts ✓</w:t>
            </w:r>
          </w:p>
        </w:tc>
      </w:tr>
      <w:tr>
        <w:tc>
          <w:tcPr>
            <w:tcW w:type="dxa" w:w="2664"/>
            <w:shd w:val="clear" w:color="auto" w:fill="F7F7F5"/>
          </w:tcPr>
          <w:p>
            <w:pPr>
              <w:keepNext/>
            </w:pPr>
            <w:r>
              <w:rPr>
                <w:b w:val="0"/>
                <w:i w:val="0"/>
                <w:sz w:val="16"/>
              </w:rPr>
              <w:t>ST Engineering</w:t>
            </w:r>
          </w:p>
        </w:tc>
        <w:tc>
          <w:tcPr>
            <w:tcW w:type="dxa" w:w="1368"/>
            <w:shd w:val="clear" w:color="auto" w:fill="F7F7F5"/>
          </w:tcPr>
          <w:p>
            <w:pPr>
              <w:keepNext/>
              <w:jc w:val="right"/>
            </w:pPr>
            <w:r>
              <w:rPr>
                <w:b w:val="0"/>
                <w:i w:val="0"/>
                <w:sz w:val="16"/>
              </w:rPr>
              <w:t>±2.9%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95%</w:t>
            </w:r>
          </w:p>
        </w:tc>
        <w:tc>
          <w:tcPr>
            <w:tcW w:type="dxa" w:w="2016"/>
            <w:shd w:val="clear" w:color="auto" w:fill="E4F3E4"/>
          </w:tcPr>
          <w:p>
            <w:pPr>
              <w:keepNext/>
            </w:pPr>
            <w:r>
              <w:rPr>
                <w:b/>
                <w:i w:val="0"/>
                <w:color w:val="0A6E0A"/>
                <w:sz w:val="16"/>
              </w:rPr>
              <w:t>+33 pts ✓</w:t>
            </w:r>
          </w:p>
        </w:tc>
      </w:tr>
      <w:tr>
        <w:tc>
          <w:tcPr>
            <w:tcW w:type="dxa" w:w="2664"/>
          </w:tcPr>
          <w:p>
            <w:r>
              <w:rPr>
                <w:b w:val="0"/>
                <w:i w:val="0"/>
                <w:sz w:val="16"/>
              </w:rPr>
              <w:t>Wilmar Intl</w:t>
            </w:r>
          </w:p>
        </w:tc>
        <w:tc>
          <w:tcPr>
            <w:tcW w:type="dxa" w:w="1368"/>
          </w:tcPr>
          <w:p>
            <w:pPr>
              <w:jc w:val="right"/>
            </w:pPr>
            <w:r>
              <w:rPr>
                <w:b w:val="0"/>
                <w:i w:val="0"/>
                <w:sz w:val="16"/>
              </w:rPr>
              <w:t>±3.0%</w:t>
            </w:r>
          </w:p>
        </w:tc>
        <w:tc>
          <w:tcPr>
            <w:tcW w:type="dxa" w:w="1440"/>
          </w:tcPr>
          <w:p>
            <w:r>
              <w:rPr>
                <w:b w:val="0"/>
                <w:i w:val="0"/>
                <w:sz w:val="16"/>
              </w:rPr>
            </w:r>
          </w:p>
        </w:tc>
        <w:tc>
          <w:tcPr>
            <w:tcW w:type="dxa" w:w="1440"/>
          </w:tcPr>
          <w:p>
            <w:r>
              <w:rPr>
                <w:b w:val="0"/>
                <w:i w:val="0"/>
                <w:color w:val="1C5CAB"/>
                <w:sz w:val="16"/>
              </w:rPr>
              <w:t>Rise</w:t>
            </w:r>
          </w:p>
        </w:tc>
        <w:tc>
          <w:tcPr>
            <w:tcW w:type="dxa" w:w="1008"/>
          </w:tcPr>
          <w:p>
            <w:pPr>
              <w:jc w:val="right"/>
            </w:pPr>
            <w:r>
              <w:rPr>
                <w:b w:val="0"/>
                <w:i w:val="0"/>
                <w:sz w:val="16"/>
              </w:rPr>
              <w:t>98%</w:t>
            </w:r>
          </w:p>
        </w:tc>
        <w:tc>
          <w:tcPr>
            <w:tcW w:type="dxa" w:w="2016"/>
            <w:shd w:val="clear" w:color="auto" w:fill="E4F3E4"/>
          </w:tcPr>
          <w:p>
            <w:r>
              <w:rPr>
                <w:b/>
                <w:i w:val="0"/>
                <w:color w:val="0A6E0A"/>
                <w:sz w:val="16"/>
              </w:rPr>
              <w:t>+33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Raffles Medical Group, Keppel Corp, Sembcorp Industries and ComfortDelGro: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46% of 180 past calls, against 58% for always guessing 'no big move'. Calls marked ✓ were right 51%, the rest 38%, but the gain is in 'no big move' calls (64% right); ✓ rise-or-fall calls were right only 28% of 36, so a ✓ never makes a direction likely. Before its probabilities were refitted, chances of 90% or more were right only 46%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540 company news articles (each read as positive, negative or neutral by FinBERT, a finance language model) and 72 political articles; price-chart indicators (RSI, MACD, Bollinger bands, VWAP, weekly trend); the market backdrop (VIX 15.7, US yield spread); Singapore ETF options positioning (put/call 0.97).</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(5)</w:t>
            </w:r>
          </w:p>
        </w:tc>
        <w:tc>
          <w:tcPr>
            <w:tcW w:type="dxa" w:w="3312"/>
          </w:tcPr>
          <w:p>
            <w:r>
              <w:rPr>
                <w:b w:val="0"/>
                <w:i w:val="0"/>
                <w:sz w:val="15"/>
              </w:rPr>
              <w:t>Ascendas REIT, Mapletree Industrial, Keppel Corp, Sembcorp Industries, ComfortDelGro</w:t>
            </w:r>
          </w:p>
        </w:tc>
        <w:tc>
          <w:tcPr>
            <w:tcW w:type="dxa" w:w="4824"/>
          </w:tcPr>
          <w:p>
            <w:r>
              <w:rPr>
                <w:b w:val="0"/>
                <w:i w:val="0"/>
                <w:sz w:val="15"/>
              </w:rPr>
              <w:t>no directional signal today</w:t>
            </w:r>
          </w:p>
        </w:tc>
      </w:tr>
      <w:tr>
        <w:tc>
          <w:tcPr>
            <w:tcW w:type="dxa" w:w="1800"/>
            <w:shd w:val="clear" w:color="auto" w:fill="F7F7F5"/>
          </w:tcPr>
          <w:p>
            <w:r>
              <w:rPr>
                <w:b/>
                <w:i w:val="0"/>
                <w:sz w:val="15"/>
              </w:rPr>
              <w:t>Model-only view (4)</w:t>
            </w:r>
          </w:p>
        </w:tc>
        <w:tc>
          <w:tcPr>
            <w:tcW w:type="dxa" w:w="3312"/>
            <w:shd w:val="clear" w:color="auto" w:fill="F7F7F5"/>
          </w:tcPr>
          <w:p>
            <w:r>
              <w:rPr>
                <w:b w:val="0"/>
                <w:i w:val="0"/>
                <w:sz w:val="15"/>
              </w:rPr>
              <w:t>UOB, Mapletree Pan Asia Comm. Trust, ST Engineering, Wilmar Intl</w:t>
            </w:r>
          </w:p>
        </w:tc>
        <w:tc>
          <w:tcPr>
            <w:tcW w:type="dxa" w:w="4824"/>
            <w:shd w:val="clear" w:color="auto" w:fill="F7F7F5"/>
          </w:tcPr>
          <w:p>
            <w:r>
              <w:rPr>
                <w:b w:val="0"/>
                <w:i w:val="0"/>
                <w:sz w:val="15"/>
              </w:rPr>
              <w:t>signals flat, but the model has a view</w:t>
            </w:r>
          </w:p>
        </w:tc>
      </w:tr>
      <w:tr>
        <w:tc>
          <w:tcPr>
            <w:tcW w:type="dxa" w:w="1800"/>
          </w:tcPr>
          <w:p>
            <w:r>
              <w:rPr>
                <w:b/>
                <w:i w:val="0"/>
                <w:sz w:val="15"/>
              </w:rPr>
              <w:t>Lag (3)</w:t>
            </w:r>
          </w:p>
        </w:tc>
        <w:tc>
          <w:tcPr>
            <w:tcW w:type="dxa" w:w="3312"/>
          </w:tcPr>
          <w:p>
            <w:r>
              <w:rPr>
                <w:b w:val="0"/>
                <w:i w:val="0"/>
                <w:sz w:val="15"/>
              </w:rPr>
              <w:t>DBS Group, OCBC Bank, CapitaLand Integ. Comm. Trust</w:t>
            </w:r>
          </w:p>
        </w:tc>
        <w:tc>
          <w:tcPr>
            <w:tcW w:type="dxa" w:w="4824"/>
          </w:tcPr>
          <w:p>
            <w:r>
              <w:rPr>
                <w:b w:val="0"/>
                <w:i w:val="0"/>
                <w:sz w:val="15"/>
              </w:rPr>
              <w:t>price went against the signals; the model sides with the signals</w:t>
            </w:r>
          </w:p>
        </w:tc>
      </w:tr>
      <w:tr>
        <w:tc>
          <w:tcPr>
            <w:tcW w:type="dxa" w:w="1800"/>
            <w:shd w:val="clear" w:color="auto" w:fill="F7F7F5"/>
          </w:tcPr>
          <w:p>
            <w:r>
              <w:rPr>
                <w:b/>
                <w:i w:val="0"/>
                <w:sz w:val="15"/>
              </w:rPr>
              <w:t>Muted, pending (2)</w:t>
            </w:r>
          </w:p>
        </w:tc>
        <w:tc>
          <w:tcPr>
            <w:tcW w:type="dxa" w:w="3312"/>
            <w:shd w:val="clear" w:color="auto" w:fill="F7F7F5"/>
          </w:tcPr>
          <w:p>
            <w:r>
              <w:rPr>
                <w:b w:val="0"/>
                <w:i w:val="0"/>
                <w:sz w:val="15"/>
              </w:rPr>
              <w:t>Singtel, SGX Group</w:t>
            </w:r>
          </w:p>
        </w:tc>
        <w:tc>
          <w:tcPr>
            <w:tcW w:type="dxa" w:w="4824"/>
            <w:shd w:val="clear" w:color="auto" w:fill="F7F7F5"/>
          </w:tcPr>
          <w:p>
            <w:r>
              <w:rPr>
                <w:b w:val="0"/>
                <w:i w:val="0"/>
                <w:sz w:val="15"/>
              </w:rPr>
              <w:t>signals leaned one way, price barely moved; the model still expects that direction</w:t>
            </w:r>
          </w:p>
        </w:tc>
      </w:tr>
      <w:tr>
        <w:tc>
          <w:tcPr>
            <w:tcW w:type="dxa" w:w="1800"/>
          </w:tcPr>
          <w:p>
            <w:r>
              <w:rPr>
                <w:b/>
                <w:i w:val="0"/>
                <w:sz w:val="15"/>
              </w:rPr>
              <w:t>Noise (1)</w:t>
            </w:r>
          </w:p>
        </w:tc>
        <w:tc>
          <w:tcPr>
            <w:tcW w:type="dxa" w:w="3312"/>
          </w:tcPr>
          <w:p>
            <w:r>
              <w:rPr>
                <w:b w:val="0"/>
                <w:i w:val="0"/>
                <w:sz w:val="15"/>
              </w:rPr>
              <w:t>Raffles Medical Group</w:t>
            </w:r>
          </w:p>
        </w:tc>
        <w:tc>
          <w:tcPr>
            <w:tcW w:type="dxa" w:w="4824"/>
          </w:tcPr>
          <w:p>
            <w:r>
              <w:rPr>
                <w:b w:val="0"/>
                <w:i w:val="0"/>
                <w:sz w:val="15"/>
              </w:rPr>
              <w:t>price went against the signals; the model has no clear view</w:t>
            </w:r>
          </w:p>
        </w:tc>
      </w:tr>
    </w:tbl>
    <w:p>
      <w:pPr>
        <w:spacing w:after="40"/>
      </w:pPr>
      <w:r>
        <w:rPr>
          <w:b w:val="0"/>
          <w:i w:val="0"/>
          <w:color w:val="52514E"/>
          <w:sz w:val="15"/>
        </w:rPr>
        <w:t>The other patterns in the 11-pattern engine did not occur today; the full set is defined in the final report, Appendix C. The contradiction check rated 1 of 15 readings strongly mixed (named on the cards) and 9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46% of 180 vs 58%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46% of the time (59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51%, others 38%; the gain is in 'no big move' calls (64%). ✓ rise-or-fall calls: 28% of 36.</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09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