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Thursday 10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04–10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-0.9% on average (1 up, 13 down); over 04–10 Sep they moved -1.2%. Weakest: Healthcare (-2.9%), Consumer Goods (-2.1%) and Banking (-1.6%); strongest: Telecommunications (+1.8%) and REIT (-1.0%).</w:t>
      </w:r>
    </w:p>
    <w:p>
      <w:pPr>
        <w:pStyle w:val="ListBullet"/>
        <w:spacing w:after="40"/>
      </w:pPr>
      <w:r>
        <w:rPr>
          <w:b/>
          <w:i w:val="0"/>
          <w:color w:val="1A2E55"/>
          <w:sz w:val="19"/>
        </w:rPr>
        <w:t xml:space="preserve">Why. </w:t>
      </w:r>
      <w:r>
        <w:rPr>
          <w:b w:val="0"/>
          <w:i w:val="0"/>
          <w:sz w:val="19"/>
        </w:rPr>
        <w:t>Biggest movers over 04–10 Sep: Wilmar Intl (-3.4%), Raffles Medical Group (-2.9%) and Singtel (+1.8%). Wilmar Intl moved more than the market without a company news story. For Raffles Medical Group, the company news and the price disagree. For Singtel, the company news and the price point the same way. See section 2.</w:t>
      </w:r>
    </w:p>
    <w:p>
      <w:pPr>
        <w:pStyle w:val="ListBullet"/>
        <w:spacing w:after="40"/>
      </w:pPr>
      <w:r>
        <w:rPr>
          <w:b/>
          <w:i w:val="0"/>
          <w:color w:val="1A2E55"/>
          <w:sz w:val="19"/>
        </w:rPr>
        <w:t xml:space="preserve">Backdrop. </w:t>
      </w:r>
      <w:r>
        <w:rPr>
          <w:b w:val="0"/>
          <w:i w:val="0"/>
          <w:sz w:val="19"/>
        </w:rPr>
        <w:t>The market backdrop is normal (VIX 16.5), and Singapore ETF options are neutral (put/call 0.71).</w:t>
      </w:r>
    </w:p>
    <w:p>
      <w:pPr>
        <w:pStyle w:val="ListBullet"/>
        <w:spacing w:after="40"/>
      </w:pPr>
      <w:r>
        <w:rPr>
          <w:b/>
          <w:i w:val="0"/>
          <w:color w:val="1A2E55"/>
          <w:sz w:val="19"/>
        </w:rPr>
        <w:t xml:space="preserve">New today. </w:t>
      </w:r>
      <w:r>
        <w:rPr>
          <w:b w:val="0"/>
          <w:i w:val="0"/>
          <w:sz w:val="19"/>
        </w:rPr>
        <w:t>Today's news added a positive signal for DBS Group (the price went the other way), SGX Group (not yet in the price), Singtel (the price went the other way), Mapletree Pan Asia Comm. Trust (the price went the other way) and three more. See section 2.</w:t>
      </w:r>
    </w:p>
    <w:p>
      <w:pPr>
        <w:pStyle w:val="ListBullet"/>
        <w:spacing w:after="40"/>
      </w:pPr>
      <w:r>
        <w:rPr>
          <w:b/>
          <w:i w:val="0"/>
          <w:color w:val="1A2E55"/>
          <w:sz w:val="19"/>
        </w:rPr>
        <w:t xml:space="preserve">Next 3 days. </w:t>
      </w:r>
      <w:r>
        <w:rPr>
          <w:b w:val="0"/>
          <w:i w:val="0"/>
          <w:sz w:val="19"/>
        </w:rPr>
        <w:t>The forecast model leans towards a rise for eleven stocks and no big move for the rest (only four stocks with a ✓ record); normal 3-day swings run from ±0.9% (Mapletree Industrial) to ±2.9% (ST Engineering),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CapitaLand Integ. Comm. Trust, where the price went against the news and the model sides with the news; Wilmar Intl, where today's news gives no signal, but the forecast model leans to a rise; ST Engineering, where today's news gives no signal, but the forecast model leans to a rise. Their cards are worth reading first. The moves in Wilmar Intl came without company news, so sector or market news is the place to check before reacting. If you prefer less day-to-day movement, Mapletree Industrial, Sembcorp Industries, Raffles Medical Group, ComfortDelGro and DBS Group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No market-wide signal fired today.</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04–10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A12D2C"/>
                <w:sz w:val="15"/>
              </w:rPr>
              <w:t>-0.9%</w:t>
            </w:r>
          </w:p>
        </w:tc>
        <w:tc>
          <w:tcPr>
            <w:tcW w:type="dxa" w:w="792"/>
          </w:tcPr>
          <w:p>
            <w:pPr>
              <w:jc w:val="right"/>
            </w:pPr>
            <w:r>
              <w:rPr>
                <w:b w:val="0"/>
                <w:i w:val="0"/>
                <w:color w:val="A12D2C"/>
                <w:sz w:val="15"/>
              </w:rPr>
              <w:t>-1.5%</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A12D2C"/>
                <w:sz w:val="15"/>
              </w:rPr>
              <w:t>-1.3%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Singtel ★</w:t>
            </w:r>
          </w:p>
        </w:tc>
        <w:tc>
          <w:tcPr>
            <w:tcW w:type="dxa" w:w="662"/>
          </w:tcPr>
          <w:p>
            <w:pPr>
              <w:jc w:val="right"/>
            </w:pPr>
            <w:r>
              <w:rPr>
                <w:b w:val="0"/>
                <w:i w:val="0"/>
                <w:color w:val="A12D2C"/>
                <w:sz w:val="15"/>
              </w:rPr>
              <w:t>-0.9%</w:t>
            </w:r>
          </w:p>
        </w:tc>
        <w:tc>
          <w:tcPr>
            <w:tcW w:type="dxa" w:w="792"/>
          </w:tcPr>
          <w:p>
            <w:pPr>
              <w:jc w:val="right"/>
            </w:pPr>
            <w:r>
              <w:rPr>
                <w:b w:val="0"/>
                <w:i w:val="0"/>
                <w:color w:val="1C5CAB"/>
                <w:sz w:val="15"/>
              </w:rPr>
              <w:t>+1.8%</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Above avg price</w:t>
            </w:r>
          </w:p>
        </w:tc>
        <w:tc>
          <w:tcPr>
            <w:tcW w:type="dxa" w:w="1642"/>
          </w:tcPr>
          <w:p>
            <w:r>
              <w:rPr>
                <w:b w:val="0"/>
                <w:i w:val="0"/>
                <w:sz w:val="15"/>
              </w:rPr>
              <w:t>Price went the other way</w:t>
            </w:r>
          </w:p>
        </w:tc>
      </w:tr>
      <w:tr>
        <w:tc>
          <w:tcPr>
            <w:tcW w:type="dxa" w:w="360"/>
            <w:shd w:val="clear" w:color="auto" w:fill="F7F7F5"/>
          </w:tcPr>
          <w:p>
            <w:r>
              <w:rPr>
                <w:b w:val="0"/>
                <w:i w:val="0"/>
                <w:sz w:val="15"/>
              </w:rPr>
              <w:t>4</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A12D2C"/>
                <w:sz w:val="15"/>
              </w:rPr>
              <w:t>-1.6%</w:t>
            </w:r>
          </w:p>
        </w:tc>
        <w:tc>
          <w:tcPr>
            <w:tcW w:type="dxa" w:w="792"/>
            <w:shd w:val="clear" w:color="auto" w:fill="F7F7F5"/>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(20)</w:t>
            </w:r>
          </w:p>
        </w:tc>
        <w:tc>
          <w:tcPr>
            <w:tcW w:type="dxa" w:w="1872"/>
            <w:shd w:val="clear" w:color="auto" w:fill="F7F7F5"/>
          </w:tcPr>
          <w:p>
            <w:r>
              <w:rPr>
                <w:b w:val="0"/>
                <w:i w:val="0"/>
                <w:sz w:val="15"/>
              </w:rPr>
              <w:t>Oversold · Weekly down · Below range</w:t>
            </w:r>
          </w:p>
        </w:tc>
        <w:tc>
          <w:tcPr>
            <w:tcW w:type="dxa" w:w="1642"/>
            <w:shd w:val="clear" w:color="auto" w:fill="F7F7F5"/>
          </w:tcPr>
          <w:p>
            <w:r>
              <w:rPr>
                <w:b w:val="0"/>
                <w:i w:val="0"/>
                <w:sz w:val="15"/>
              </w:rPr>
              <w:t>Price went the other way</w:t>
            </w:r>
          </w:p>
        </w:tc>
      </w:tr>
      <w:tr>
        <w:tc>
          <w:tcPr>
            <w:tcW w:type="dxa" w:w="360"/>
          </w:tcPr>
          <w:p>
            <w:r>
              <w:rPr>
                <w:b w:val="0"/>
                <w:i w:val="0"/>
                <w:sz w:val="15"/>
              </w:rPr>
              <w:t>5</w:t>
            </w:r>
          </w:p>
        </w:tc>
        <w:tc>
          <w:tcPr>
            <w:tcW w:type="dxa" w:w="2189"/>
          </w:tcPr>
          <w:p>
            <w:r>
              <w:rPr>
                <w:b w:val="0"/>
                <w:i w:val="0"/>
                <w:sz w:val="15"/>
              </w:rPr>
              <w:t>Ascendas REIT ★</w:t>
            </w:r>
          </w:p>
        </w:tc>
        <w:tc>
          <w:tcPr>
            <w:tcW w:type="dxa" w:w="662"/>
          </w:tcPr>
          <w:p>
            <w:pPr>
              <w:jc w:val="right"/>
            </w:pPr>
            <w:r>
              <w:rPr>
                <w:b w:val="0"/>
                <w:i w:val="0"/>
                <w:color w:val="A12D2C"/>
                <w:sz w:val="15"/>
              </w:rPr>
              <w:t>-0.4%</w:t>
            </w:r>
          </w:p>
        </w:tc>
        <w:tc>
          <w:tcPr>
            <w:tcW w:type="dxa" w:w="792"/>
          </w:tcPr>
          <w:p>
            <w:pPr>
              <w:jc w:val="right"/>
            </w:pPr>
            <w:r>
              <w:rPr>
                <w:b w:val="0"/>
                <w:i w:val="0"/>
                <w:color w:val="A12D2C"/>
                <w:sz w:val="15"/>
              </w:rPr>
              <w:t>-1.3%</w:t>
            </w:r>
          </w:p>
        </w:tc>
        <w:tc>
          <w:tcPr>
            <w:tcW w:type="dxa" w:w="1037"/>
            <w:shd w:val="clear" w:color="auto" w:fill="DCEAFB"/>
          </w:tcPr>
          <w:p>
            <w:r>
              <w:rPr>
                <w:b/>
                <w:i w:val="0"/>
                <w:color w:val="1C5CAB"/>
                <w:sz w:val="15"/>
              </w:rPr>
              <w:t>Positive</w:t>
            </w:r>
          </w:p>
        </w:tc>
        <w:tc>
          <w:tcPr>
            <w:tcW w:type="dxa" w:w="1382"/>
          </w:tcPr>
          <w:p>
            <w:r>
              <w:rPr>
                <w:b w:val="0"/>
                <w:i w:val="0"/>
                <w:sz w:val="15"/>
              </w:rPr>
              <w:t>Mixed (19)</w:t>
            </w:r>
          </w:p>
        </w:tc>
        <w:tc>
          <w:tcPr>
            <w:tcW w:type="dxa" w:w="1872"/>
          </w:tcPr>
          <w:p>
            <w:r>
              <w:rPr>
                <w:b w:val="0"/>
                <w:i w:val="0"/>
                <w:sz w:val="15"/>
              </w:rPr>
              <w:t>Oversold · Weekly down · Below range</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OCBC Bank ★</w:t>
            </w:r>
          </w:p>
        </w:tc>
        <w:tc>
          <w:tcPr>
            <w:tcW w:type="dxa" w:w="662"/>
            <w:shd w:val="clear" w:color="auto" w:fill="F7F7F5"/>
          </w:tcPr>
          <w:p>
            <w:pPr>
              <w:jc w:val="right"/>
            </w:pPr>
            <w:r>
              <w:rPr>
                <w:b w:val="0"/>
                <w:i w:val="0"/>
                <w:color w:val="52514E"/>
                <w:sz w:val="15"/>
              </w:rPr>
              <w:t>+0.1%</w:t>
            </w:r>
          </w:p>
        </w:tc>
        <w:tc>
          <w:tcPr>
            <w:tcW w:type="dxa" w:w="792"/>
            <w:shd w:val="clear" w:color="auto" w:fill="F7F7F5"/>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CapitaLand Integ. Comm. Trust ★ ⚑</w:t>
            </w:r>
          </w:p>
        </w:tc>
        <w:tc>
          <w:tcPr>
            <w:tcW w:type="dxa" w:w="662"/>
          </w:tcPr>
          <w:p>
            <w:pPr>
              <w:jc w:val="right"/>
            </w:pPr>
            <w:r>
              <w:rPr>
                <w:b w:val="0"/>
                <w:i w:val="0"/>
                <w:color w:val="A12D2C"/>
                <w:sz w:val="15"/>
              </w:rPr>
              <w:t>-1.7%</w:t>
            </w:r>
          </w:p>
        </w:tc>
        <w:tc>
          <w:tcPr>
            <w:tcW w:type="dxa" w:w="792"/>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tcPr>
          <w:p>
            <w:r>
              <w:rPr>
                <w:b w:val="0"/>
                <w:i w:val="0"/>
                <w:sz w:val="15"/>
              </w:rPr>
              <w:t>Mostly positive (27)</w:t>
            </w:r>
          </w:p>
        </w:tc>
        <w:tc>
          <w:tcPr>
            <w:tcW w:type="dxa" w:w="1872"/>
          </w:tcPr>
          <w:p>
            <w:r>
              <w:rPr>
                <w:b w:val="0"/>
                <w:i w:val="0"/>
                <w:sz w:val="15"/>
              </w:rPr>
              <w:t>Below range</w:t>
            </w:r>
          </w:p>
        </w:tc>
        <w:tc>
          <w:tcPr>
            <w:tcW w:type="dxa" w:w="1642"/>
          </w:tcPr>
          <w:p>
            <w:r>
              <w:rPr>
                <w:b w:val="0"/>
                <w:i w:val="0"/>
                <w:sz w:val="15"/>
              </w:rPr>
              <w:t>Price went the other way</w:t>
            </w:r>
          </w:p>
        </w:tc>
      </w:tr>
      <w:tr>
        <w:tc>
          <w:tcPr>
            <w:tcW w:type="dxa" w:w="360"/>
            <w:shd w:val="clear" w:color="auto" w:fill="F7F7F5"/>
          </w:tcPr>
          <w:p>
            <w:r>
              <w:rPr>
                <w:b w:val="0"/>
                <w:i w:val="0"/>
                <w:sz w:val="15"/>
              </w:rPr>
              <w:t>8</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A12D2C"/>
                <w:sz w:val="15"/>
              </w:rPr>
              <w:t>-0.5%</w:t>
            </w:r>
          </w:p>
        </w:tc>
        <w:tc>
          <w:tcPr>
            <w:tcW w:type="dxa" w:w="792"/>
            <w:shd w:val="clear" w:color="auto" w:fill="F7F7F5"/>
          </w:tcPr>
          <w:p>
            <w:pPr>
              <w:jc w:val="right"/>
            </w:pPr>
            <w:r>
              <w:rPr>
                <w:b w:val="0"/>
                <w:i w:val="0"/>
                <w:color w:val="A12D2C"/>
                <w:sz w:val="15"/>
              </w:rPr>
              <w:t>-1.8%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9</w:t>
            </w:r>
          </w:p>
        </w:tc>
        <w:tc>
          <w:tcPr>
            <w:tcW w:type="dxa" w:w="2189"/>
          </w:tcPr>
          <w:p>
            <w:r>
              <w:rPr>
                <w:b w:val="0"/>
                <w:i w:val="0"/>
                <w:sz w:val="15"/>
              </w:rPr>
              <w:t>Sembcorp Industries ★</w:t>
            </w:r>
          </w:p>
        </w:tc>
        <w:tc>
          <w:tcPr>
            <w:tcW w:type="dxa" w:w="662"/>
          </w:tcPr>
          <w:p>
            <w:pPr>
              <w:jc w:val="right"/>
            </w:pPr>
            <w:r>
              <w:rPr>
                <w:b w:val="0"/>
                <w:i w:val="0"/>
                <w:color w:val="A12D2C"/>
                <w:sz w:val="15"/>
              </w:rPr>
              <w:t>-1.5%</w:t>
            </w:r>
          </w:p>
        </w:tc>
        <w:tc>
          <w:tcPr>
            <w:tcW w:type="dxa" w:w="792"/>
          </w:tcPr>
          <w:p>
            <w:pPr>
              <w:jc w:val="right"/>
            </w:pPr>
            <w:r>
              <w:rPr>
                <w:b w:val="0"/>
                <w:i w:val="0"/>
                <w:color w:val="A12D2C"/>
                <w:sz w:val="15"/>
              </w:rPr>
              <w:t>-1.3%</w:t>
            </w:r>
          </w:p>
        </w:tc>
        <w:tc>
          <w:tcPr>
            <w:tcW w:type="dxa" w:w="1037"/>
            <w:shd w:val="clear" w:color="auto" w:fill="EFEEEA"/>
          </w:tcPr>
          <w:p>
            <w:r>
              <w:rPr>
                <w:b/>
                <w:i w:val="0"/>
                <w:color w:val="52514E"/>
                <w:sz w:val="15"/>
              </w:rPr>
              <w:t>Neutral</w:t>
            </w:r>
          </w:p>
        </w:tc>
        <w:tc>
          <w:tcPr>
            <w:tcW w:type="dxa" w:w="1382"/>
          </w:tcPr>
          <w:p>
            <w:r>
              <w:rPr>
                <w:b w:val="0"/>
                <w:i w:val="0"/>
                <w:sz w:val="15"/>
              </w:rPr>
              <w:t>Mixed (22)</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Wilmar Intl ★ ⚑</w:t>
            </w:r>
          </w:p>
        </w:tc>
        <w:tc>
          <w:tcPr>
            <w:tcW w:type="dxa" w:w="662"/>
            <w:shd w:val="clear" w:color="auto" w:fill="F7F7F5"/>
          </w:tcPr>
          <w:p>
            <w:pPr>
              <w:jc w:val="right"/>
            </w:pPr>
            <w:r>
              <w:rPr>
                <w:b w:val="0"/>
                <w:i w:val="0"/>
                <w:color w:val="A12D2C"/>
                <w:sz w:val="15"/>
              </w:rPr>
              <w:t>-0.5%</w:t>
            </w:r>
          </w:p>
        </w:tc>
        <w:tc>
          <w:tcPr>
            <w:tcW w:type="dxa" w:w="792"/>
            <w:shd w:val="clear" w:color="auto" w:fill="F7F7F5"/>
          </w:tcPr>
          <w:p>
            <w:pPr>
              <w:jc w:val="right"/>
            </w:pPr>
            <w:r>
              <w:rPr>
                <w:b w:val="0"/>
                <w:i w:val="0"/>
                <w:color w:val="A12D2C"/>
                <w:sz w:val="15"/>
              </w:rPr>
              <w:t>-3.4%</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(22)</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ST Engineering ★ ⚑</w:t>
            </w:r>
          </w:p>
        </w:tc>
        <w:tc>
          <w:tcPr>
            <w:tcW w:type="dxa" w:w="662"/>
          </w:tcPr>
          <w:p>
            <w:pPr>
              <w:jc w:val="right"/>
            </w:pPr>
            <w:r>
              <w:rPr>
                <w:b w:val="0"/>
                <w:i w:val="0"/>
                <w:color w:val="A12D2C"/>
                <w:sz w:val="15"/>
              </w:rPr>
              <w:t>-1.0%</w:t>
            </w:r>
          </w:p>
        </w:tc>
        <w:tc>
          <w:tcPr>
            <w:tcW w:type="dxa" w:w="792"/>
          </w:tcPr>
          <w:p>
            <w:pPr>
              <w:jc w:val="right"/>
            </w:pPr>
            <w:r>
              <w:rPr>
                <w:b w:val="0"/>
                <w:i w:val="0"/>
                <w:color w:val="A12D2C"/>
                <w:sz w:val="15"/>
              </w:rPr>
              <w:t>-1.5%</w:t>
            </w:r>
          </w:p>
        </w:tc>
        <w:tc>
          <w:tcPr>
            <w:tcW w:type="dxa" w:w="1037"/>
            <w:shd w:val="clear" w:color="auto" w:fill="EFEEEA"/>
          </w:tcPr>
          <w:p>
            <w:r>
              <w:rPr>
                <w:b/>
                <w:i w:val="0"/>
                <w:color w:val="52514E"/>
                <w:sz w:val="15"/>
              </w:rPr>
              <w:t>Neutral</w:t>
            </w:r>
          </w:p>
        </w:tc>
        <w:tc>
          <w:tcPr>
            <w:tcW w:type="dxa" w:w="1382"/>
          </w:tcPr>
          <w:p>
            <w:r>
              <w:rPr>
                <w:b w:val="0"/>
                <w:i w:val="0"/>
                <w:sz w:val="15"/>
              </w:rPr>
              <w:t>Mixed (49)</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12</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-0.8%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(46)</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Keppel Corp ★</w:t>
            </w:r>
          </w:p>
        </w:tc>
        <w:tc>
          <w:tcPr>
            <w:tcW w:type="dxa" w:w="662"/>
          </w:tcPr>
          <w:p>
            <w:pPr>
              <w:jc w:val="right"/>
            </w:pPr>
            <w:r>
              <w:rPr>
                <w:b w:val="0"/>
                <w:i w:val="0"/>
                <w:color w:val="A12D2C"/>
                <w:sz w:val="15"/>
              </w:rPr>
              <w:t>-2.8%</w:t>
            </w:r>
          </w:p>
        </w:tc>
        <w:tc>
          <w:tcPr>
            <w:tcW w:type="dxa" w:w="792"/>
          </w:tcPr>
          <w:p>
            <w:pPr>
              <w:jc w:val="right"/>
            </w:pPr>
            <w:r>
              <w:rPr>
                <w:b w:val="0"/>
                <w:i w:val="0"/>
                <w:color w:val="52514E"/>
                <w:sz w:val="15"/>
              </w:rPr>
              <w:t>-0.1%</w:t>
            </w:r>
          </w:p>
        </w:tc>
        <w:tc>
          <w:tcPr>
            <w:tcW w:type="dxa" w:w="1037"/>
            <w:shd w:val="clear" w:color="auto" w:fill="EFEEEA"/>
          </w:tcPr>
          <w:p>
            <w:r>
              <w:rPr>
                <w:b/>
                <w:i w:val="0"/>
                <w:color w:val="52514E"/>
                <w:sz w:val="15"/>
              </w:rPr>
              <w:t>Neutral</w:t>
            </w:r>
          </w:p>
        </w:tc>
        <w:tc>
          <w:tcPr>
            <w:tcW w:type="dxa" w:w="1382"/>
          </w:tcPr>
          <w:p>
            <w:r>
              <w:rPr>
                <w:b w:val="0"/>
                <w:i w:val="0"/>
                <w:sz w:val="15"/>
              </w:rPr>
              <w:t>Mixed (30)</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(30)</w:t>
            </w:r>
          </w:p>
        </w:tc>
        <w:tc>
          <w:tcPr>
            <w:tcW w:type="dxa" w:w="1872"/>
            <w:shd w:val="clear" w:color="auto" w:fill="F7F7F5"/>
          </w:tcPr>
          <w:p>
            <w:r>
              <w:rPr>
                <w:b w:val="0"/>
                <w:i w:val="0"/>
                <w:sz w:val="15"/>
              </w:rPr>
              <w:t>Weekly down · Below range</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A12D2C"/>
                <w:sz w:val="15"/>
              </w:rPr>
              <w:t>-0.5%</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Mostly negative (25)</w:t>
            </w:r>
          </w:p>
        </w:tc>
        <w:tc>
          <w:tcPr>
            <w:tcW w:type="dxa" w:w="1872"/>
          </w:tcPr>
          <w:p>
            <w:r>
              <w:rPr>
                <w:b w:val="0"/>
                <w:i w:val="0"/>
                <w:sz w:val="15"/>
              </w:rPr>
              <w:t>Trend turned down · 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(3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04–10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10.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-1.7% over 04–10 Sep</w:t>
            </w:r>
          </w:p>
          <w:p>
            <w:pPr>
              <w:spacing w:after="10" w:line="240" w:lineRule="auto"/>
            </w:pPr>
            <w:r>
              <w:rPr>
                <w:b/>
                <w:i w:val="0"/>
                <w:color w:val="1A2E55"/>
                <w:sz w:val="16"/>
              </w:rPr>
              <w:t xml:space="preserve">In short (AI-written, checked)  </w:t>
            </w:r>
            <w:r>
              <w:rPr>
                <w:b w:val="0"/>
                <w:i w:val="0"/>
                <w:sz w:val="16"/>
              </w:rPr>
              <w:t>CapitaLand Integrated Commercial Trust fell 1.7% over 04–10 Sep. The news today was mostly positive, yet the price moved the other way, so the company story and the price disagree and the move looks market-wide. The forecast model expects a rise with a 93% chance, but that signal is weak.</w:t>
            </w:r>
          </w:p>
          <w:p>
            <w:pPr>
              <w:spacing w:after="10" w:line="240" w:lineRule="auto"/>
            </w:pPr>
            <w:r>
              <w:rPr>
                <w:b/>
                <w:i w:val="0"/>
                <w:color w:val="1A2E55"/>
                <w:sz w:val="16"/>
              </w:rPr>
              <w:t xml:space="preserve">What happened  </w:t>
            </w:r>
            <w:r>
              <w:rPr>
                <w:b w:val="0"/>
                <w:i w:val="0"/>
                <w:sz w:val="16"/>
              </w:rPr>
              <w:t>Fell 1.7% over 04–10 Sep, including -1.7% on Thu 10 Sep. Today -1.7%.</w:t>
            </w:r>
          </w:p>
          <w:p>
            <w:pPr>
              <w:spacing w:after="10" w:line="240" w:lineRule="auto"/>
            </w:pPr>
            <w:r>
              <w:rPr>
                <w:b/>
                <w:i w:val="0"/>
                <w:color w:val="1A2E55"/>
                <w:sz w:val="16"/>
              </w:rPr>
              <w:t xml:space="preserve">Today: news vs price  </w:t>
            </w:r>
            <w:r>
              <w:rPr>
                <w:b w:val="0"/>
                <w:i w:val="0"/>
                <w:sz w:val="16"/>
              </w:rPr>
              <w:t>Positive reading, but the price fell 1.7%: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mostly positive; the price fell 1.7% over 04–10 Sep, its 3 sector peers -0.7% on average, and the 15 stocks -1.2% on average. So the company news and the price disagree; the move looks market-wide.</w:t>
            </w:r>
          </w:p>
          <w:p>
            <w:pPr>
              <w:spacing w:after="10" w:line="240" w:lineRule="auto"/>
            </w:pPr>
            <w:r>
              <w:rPr>
                <w:b/>
                <w:i w:val="0"/>
                <w:color w:val="1A2E55"/>
                <w:sz w:val="16"/>
              </w:rPr>
              <w:t xml:space="preserve">News today  </w:t>
            </w:r>
            <w:r>
              <w:rPr>
                <w:b w:val="0"/>
                <w:i w:val="0"/>
                <w:sz w:val="16"/>
              </w:rPr>
              <w:t>27 articles collected today: 11 positive, 5 negative, 11 neutral (mostly positive). Event tags: dividend, earnings, merger or acquisition, upgrade.</w:t>
            </w:r>
          </w:p>
          <w:p>
            <w:pPr>
              <w:spacing w:after="10" w:line="240" w:lineRule="auto"/>
            </w:pPr>
            <w:r>
              <w:rPr>
                <w:b/>
                <w:i w:val="0"/>
                <w:color w:val="1A2E55"/>
                <w:sz w:val="16"/>
              </w:rPr>
              <w:t xml:space="preserve">Headlines  </w:t>
            </w:r>
            <w:r>
              <w:rPr>
                <w:b w:val="0"/>
                <w:i w:val="0"/>
                <w:sz w:val="16"/>
              </w:rPr>
              <w:t>+ “CapitaLand Integrated Commercial Trust leads institutional inflows as fund flows reverse course” (reitsweek, 09 Sep)</w:t>
            </w:r>
          </w:p>
          <w:p>
            <w:pPr>
              <w:spacing w:after="10" w:line="240" w:lineRule="auto"/>
            </w:pPr>
            <w:r>
              <w:rPr>
                <w:b/>
                <w:i w:val="0"/>
                <w:color w:val="1A2E55"/>
                <w:sz w:val="16"/>
              </w:rPr>
              <w:t xml:space="preserve">Price chart  </w:t>
            </w:r>
            <w:r>
              <w:rPr>
                <w:b w:val="0"/>
                <w:i w:val="0"/>
                <w:sz w:val="16"/>
              </w:rPr>
              <w:t>RSI 30, between 30 and 70: no unusually fast move; price below its usual range (Bollinger band).</w:t>
            </w:r>
          </w:p>
          <w:p>
            <w:pPr>
              <w:spacing w:after="10" w:line="240" w:lineRule="auto"/>
            </w:pPr>
            <w:r>
              <w:rPr>
                <w:b/>
                <w:i w:val="0"/>
                <w:color w:val="1A2E55"/>
                <w:sz w:val="16"/>
              </w:rPr>
              <w:t xml:space="preserve">News &amp; signals reading  </w:t>
            </w:r>
            <w:r>
              <w:rPr>
                <w:b w:val="0"/>
                <w:i w:val="0"/>
                <w:sz w:val="16"/>
              </w:rPr>
              <w:t>Positive today (score +0.35; positive above +0.35, negative below −0.35), and on all 3 earlier recorded days. It needs both 'Earnings/dividend headlines' and the positive news: without either it would be neutral. Borderline: without the two political-news rules (unreliable, section 5) the score would be +0.34, inside the neutral band.</w:t>
            </w:r>
          </w:p>
          <w:p>
            <w:pPr>
              <w:spacing w:after="10" w:line="240" w:lineRule="auto"/>
            </w:pPr>
            <w:r>
              <w:rPr>
                <w:b/>
                <w:i w:val="0"/>
                <w:color w:val="1A2E55"/>
                <w:sz w:val="16"/>
              </w:rPr>
              <w:t xml:space="preserve">Rules behind the reading  </w:t>
            </w:r>
            <w:r>
              <w:rPr>
                <w:b w:val="0"/>
                <w:i w:val="0"/>
                <w:sz w:val="16"/>
              </w:rPr>
              <w:t>Up: earnings/dividend headlines +0.20, positive company news +0.18. Down: below usual range −0.04. Market-wide: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remains positive, driven by a positive geopolitical backdrop, strong corporate events such as the S$160 million Plaza Singapura upgrade and a S$600 million private placement, and favorable technical indicators like RSI momentum and price above VWAP. Positive company news sentiment and a slight positive political news tone further reinforce the outlook. However, elevated political news volume and the price sitting below the Bollinger lower band introduce downside risk, and the split between linear and non‑linear model predictions adds some uncertainty.</w:t>
            </w:r>
          </w:p>
          <w:p>
            <w:pPr>
              <w:spacing w:after="10" w:line="240" w:lineRule="auto"/>
            </w:pPr>
            <w:r>
              <w:rPr>
                <w:b/>
                <w:i w:val="0"/>
                <w:color w:val="1A2E55"/>
                <w:sz w:val="16"/>
              </w:rPr>
              <w:t xml:space="preserve">Forecast lean  </w:t>
            </w:r>
            <w:r>
              <w:rPr>
                <w:b w:val="0"/>
                <w:i w:val="0"/>
                <w:sz w:val="16"/>
              </w:rPr>
              <w:t>Rise over the next 3 trading days (chance 93%); its normal 3-day swing is ±1.3%. Past record on this stock: ✓, but rise-or-fall calls marked ✓ were right only 27%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Wilmar International</w:t>
            </w:r>
            <w:r>
              <w:rPr>
                <w:b w:val="0"/>
                <w:i w:val="0"/>
                <w:color w:val="52514E"/>
                <w:sz w:val="17"/>
              </w:rPr>
              <w:t xml:space="preserve">   Consumer Goods  ·  -3.4% over 04–10 Sep</w:t>
            </w:r>
          </w:p>
          <w:p>
            <w:pPr>
              <w:spacing w:after="10" w:line="240" w:lineRule="auto"/>
            </w:pPr>
            <w:r>
              <w:rPr>
                <w:b/>
                <w:i w:val="0"/>
                <w:color w:val="1A2E55"/>
                <w:sz w:val="16"/>
              </w:rPr>
              <w:t xml:space="preserve">In short (AI-written, checked)  </w:t>
            </w:r>
            <w:r>
              <w:rPr>
                <w:b w:val="0"/>
                <w:i w:val="0"/>
                <w:sz w:val="16"/>
              </w:rPr>
              <w:t>Wilmar International fell 3.4% over 04–10 Sep. There was no news signal today, and the move appears market-wide; the company story does not explain the move. The forecast model expects a rise with a 92% chance, but that signal is weak.</w:t>
            </w:r>
          </w:p>
          <w:p>
            <w:pPr>
              <w:spacing w:after="10" w:line="240" w:lineRule="auto"/>
            </w:pPr>
            <w:r>
              <w:rPr>
                <w:b/>
                <w:i w:val="0"/>
                <w:color w:val="1A2E55"/>
                <w:sz w:val="16"/>
              </w:rPr>
              <w:t xml:space="preserve">What happened  </w:t>
            </w:r>
            <w:r>
              <w:rPr>
                <w:b w:val="0"/>
                <w:i w:val="0"/>
                <w:sz w:val="16"/>
              </w:rPr>
              <w:t>Fell 3.4% over 04–10 Sep; its biggest day was Tue 08 Sep (-1.8%). Today -0.5%.</w:t>
            </w:r>
          </w:p>
          <w:p>
            <w:pPr>
              <w:spacing w:after="10" w:line="240" w:lineRule="auto"/>
            </w:pPr>
            <w:r>
              <w:rPr>
                <w:b/>
                <w:i w:val="0"/>
                <w:color w:val="1A2E55"/>
                <w:sz w:val="16"/>
              </w:rPr>
              <w:t xml:space="preserve">Today: news vs price  </w:t>
            </w:r>
            <w:r>
              <w:rPr>
                <w:b w:val="0"/>
                <w:i w:val="0"/>
                <w:sz w:val="16"/>
              </w:rPr>
              <w:t>No news signal today (neutral reading); the price fell 0.5%.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3.4% over 04–10 Sep, its sector peer ComfortDelGro -0.8%, and the 15 stocks -1.2%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22 articles collected today: 2 positive, 4 negative, 16 neutral (mixed). Event tags: dividend, earnings, merger or acquisition, upgrade.</w:t>
            </w:r>
          </w:p>
          <w:p>
            <w:pPr>
              <w:spacing w:after="10" w:line="240" w:lineRule="auto"/>
            </w:pPr>
            <w:r>
              <w:rPr>
                <w:b/>
                <w:i w:val="0"/>
                <w:color w:val="1A2E55"/>
                <w:sz w:val="16"/>
              </w:rPr>
              <w:t xml:space="preserve">Headlines  </w:t>
            </w:r>
            <w:r>
              <w:rPr>
                <w:b w:val="0"/>
                <w:i w:val="0"/>
                <w:sz w:val="16"/>
              </w:rPr>
              <w:t>+ “Is Wilmar’s Higher Interim Dividend Signaling a Shift in Capital Allocation Priorities for S…” (simplywall.st, 16 Aug)</w:t>
            </w:r>
          </w:p>
          <w:p>
            <w:pPr>
              <w:spacing w:after="10" w:line="240" w:lineRule="auto"/>
            </w:pPr>
            <w:r>
              <w:rPr>
                <w:b/>
                <w:i w:val="0"/>
                <w:color w:val="1A2E55"/>
                <w:sz w:val="16"/>
              </w:rPr>
              <w:t xml:space="preserve">Price chart  </w:t>
            </w:r>
            <w:r>
              <w:rPr>
                <w:b w:val="0"/>
                <w:i w:val="0"/>
                <w:sz w:val="16"/>
              </w:rPr>
              <w:t>RSI 44,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Neutral today (score +0.23; positive above +0.35, negative below −0.35), and on 2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above average price +0.02. Market-wide: political news +0.01 (unreliable, section 5).</w:t>
            </w:r>
          </w:p>
          <w:p>
            <w:pPr>
              <w:spacing w:after="10" w:line="240" w:lineRule="auto"/>
            </w:pPr>
            <w:r>
              <w:rPr>
                <w:b/>
                <w:i w:val="0"/>
                <w:color w:val="1A2E55"/>
                <w:sz w:val="16"/>
              </w:rPr>
              <w:t xml:space="preserve">AI summary of the evidence (checked)  </w:t>
            </w:r>
            <w:r>
              <w:rPr>
                <w:b w:val="0"/>
                <w:i w:val="0"/>
                <w:sz w:val="16"/>
              </w:rPr>
              <w:t>Wilmar International’s outlook remains neutral, driven by a positive geopolitical backdrop, recent positive corporate events, and short‑term momentum from price above VWAP, all supported by ML-model‑identified RSI momentum and political news tone. However, elevated political news volume and negative news share introduce negative pressure, while macro headlines about the Iran war add recession risk. The rule‑based baseline stays neutral even though the LogReg model predicts positive and the RandomForest model predicts neutral, illustrating a mild contradiction. Recent news such as the 25% loss over five years and palm oil futures slide reinforce caution, yet a 6% intraday rise shows some market optimism. Overall, the mixed signals suggest a cautious neutral stance for the next trading day.</w:t>
            </w:r>
          </w:p>
          <w:p>
            <w:pPr>
              <w:spacing w:after="10" w:line="240" w:lineRule="auto"/>
            </w:pPr>
            <w:r>
              <w:rPr>
                <w:b/>
                <w:i w:val="0"/>
                <w:color w:val="1A2E55"/>
                <w:sz w:val="16"/>
              </w:rPr>
              <w:t xml:space="preserve">Forecast lean  </w:t>
            </w:r>
            <w:r>
              <w:rPr>
                <w:b w:val="0"/>
                <w:i w:val="0"/>
                <w:sz w:val="16"/>
              </w:rPr>
              <w:t>Rise over the next 3 trading days (chance 92%); its normal 3-day swing is ±2.0%. Past record on this stock: ✓, but rise-or-fall calls marked ✓ were right only 27%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ST Engineering</w:t>
            </w:r>
            <w:r>
              <w:rPr>
                <w:b w:val="0"/>
                <w:i w:val="0"/>
                <w:color w:val="52514E"/>
                <w:sz w:val="17"/>
              </w:rPr>
              <w:t xml:space="preserve">   Industrials  ·  -1.5% over 04–10 Sep</w:t>
            </w:r>
          </w:p>
          <w:p>
            <w:pPr>
              <w:spacing w:after="10" w:line="240" w:lineRule="auto"/>
            </w:pPr>
            <w:r>
              <w:rPr>
                <w:b/>
                <w:i w:val="0"/>
                <w:color w:val="1A2E55"/>
                <w:sz w:val="16"/>
              </w:rPr>
              <w:t xml:space="preserve">In short (AI-written, checked)  </w:t>
            </w:r>
            <w:r>
              <w:rPr>
                <w:b w:val="0"/>
                <w:i w:val="0"/>
                <w:sz w:val="16"/>
              </w:rPr>
              <w:t>ST Engineering fell 1.5% over 04–10 Sep. There was no news signal today, and the move looks market-wide; the company story does not explain the move. The forecast model expects a rise with a &gt;99% chance, but that signal is weak.</w:t>
            </w:r>
          </w:p>
          <w:p>
            <w:pPr>
              <w:spacing w:after="10" w:line="240" w:lineRule="auto"/>
            </w:pPr>
            <w:r>
              <w:rPr>
                <w:b/>
                <w:i w:val="0"/>
                <w:color w:val="1A2E55"/>
                <w:sz w:val="16"/>
              </w:rPr>
              <w:t xml:space="preserve">What happened  </w:t>
            </w:r>
            <w:r>
              <w:rPr>
                <w:b w:val="0"/>
                <w:i w:val="0"/>
                <w:sz w:val="16"/>
              </w:rPr>
              <w:t>Fell 1.5% over 04–10 Sep; its biggest day was Thu 10 Sep (-1.0%). Today -1.0%.</w:t>
            </w:r>
          </w:p>
          <w:p>
            <w:pPr>
              <w:spacing w:after="10" w:line="240" w:lineRule="auto"/>
            </w:pPr>
            <w:r>
              <w:rPr>
                <w:b/>
                <w:i w:val="0"/>
                <w:color w:val="1A2E55"/>
                <w:sz w:val="16"/>
              </w:rPr>
              <w:t xml:space="preserve">Today: news vs price  </w:t>
            </w:r>
            <w:r>
              <w:rPr>
                <w:b w:val="0"/>
                <w:i w:val="0"/>
                <w:sz w:val="16"/>
              </w:rPr>
              <w:t>No news signal today (neutral reading); the price fell 1.0%, more than a normal day's ±0.6%: a move without a news signal.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1.5% over 04–10 Sep, its 2 sector peers -0.7% on average, and the 15 stocks -1.2% on average. So there is no company story in the news, and the move looks market-wide.</w:t>
            </w:r>
          </w:p>
          <w:p>
            <w:pPr>
              <w:spacing w:after="10" w:line="240" w:lineRule="auto"/>
            </w:pPr>
            <w:r>
              <w:rPr>
                <w:b/>
                <w:i w:val="0"/>
                <w:color w:val="1A2E55"/>
                <w:sz w:val="16"/>
              </w:rPr>
              <w:t xml:space="preserve">News today  </w:t>
            </w:r>
            <w:r>
              <w:rPr>
                <w:b w:val="0"/>
                <w:i w:val="0"/>
                <w:sz w:val="16"/>
              </w:rPr>
              <w:t>49 articles collected today: 16 positive, 13 negative, 20 neutral (mixed). Event tags: dividend, earnings, merger or acquisition, management change.</w:t>
            </w:r>
          </w:p>
          <w:p>
            <w:pPr>
              <w:spacing w:after="10" w:line="240" w:lineRule="auto"/>
            </w:pPr>
            <w:r>
              <w:rPr>
                <w:b/>
                <w:i w:val="0"/>
                <w:color w:val="1A2E55"/>
                <w:sz w:val="16"/>
              </w:rPr>
              <w:t xml:space="preserve">Headlines  </w:t>
            </w:r>
            <w:r>
              <w:rPr>
                <w:b w:val="0"/>
                <w:i w:val="0"/>
                <w:sz w:val="16"/>
              </w:rPr>
              <w:t>+ “Singapore Technologies Engineering (SGX:S63) Stock Revenue Climbs While Margins Thin” (simplywall.st, 13 Aug)   − “Wall St indexes open lower as oil crosses US$100” (Business Times, 09 Sep)</w:t>
            </w:r>
          </w:p>
          <w:p>
            <w:pPr>
              <w:spacing w:after="10" w:line="240" w:lineRule="auto"/>
            </w:pPr>
            <w:r>
              <w:rPr>
                <w:b/>
                <w:i w:val="0"/>
                <w:color w:val="1A2E55"/>
                <w:sz w:val="16"/>
              </w:rPr>
              <w:t xml:space="preserve">Price chart  </w:t>
            </w:r>
            <w:r>
              <w:rPr>
                <w:b w:val="0"/>
                <w:i w:val="0"/>
                <w:sz w:val="16"/>
              </w:rPr>
              <w:t>RSI 41, between 30 and 70: no unusually fast move.</w:t>
            </w:r>
          </w:p>
          <w:p>
            <w:pPr>
              <w:spacing w:after="10" w:line="240" w:lineRule="auto"/>
            </w:pPr>
            <w:r>
              <w:rPr>
                <w:b/>
                <w:i w:val="0"/>
                <w:color w:val="1A2E55"/>
                <w:sz w:val="16"/>
              </w:rPr>
              <w:t xml:space="preserve">News &amp; signals reading  </w:t>
            </w:r>
            <w:r>
              <w:rPr>
                <w:b w:val="0"/>
                <w:i w:val="0"/>
                <w:sz w:val="16"/>
              </w:rPr>
              <w:t>Neutral today (score +0.21; positive above +0.35, negative below −0.35), and on 1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Market-wide: political news +0.01 (unreliable, section 5).</w:t>
            </w:r>
          </w:p>
          <w:p>
            <w:pPr>
              <w:spacing w:after="10" w:line="240" w:lineRule="auto"/>
            </w:pPr>
            <w:r>
              <w:rPr>
                <w:b/>
                <w:i w:val="0"/>
                <w:color w:val="1A2E55"/>
                <w:sz w:val="16"/>
              </w:rPr>
              <w:t xml:space="preserve">AI summary of the evidence (checked)  </w:t>
            </w:r>
            <w:r>
              <w:rPr>
                <w:b w:val="0"/>
                <w:i w:val="0"/>
                <w:sz w:val="16"/>
              </w:rPr>
              <w:t>Momentum indicators such as RSI and price above VWAP support a mild positive tilt, yet the negative weekly trend confirmation and rising oil prices inject caution. Although the linear LogReg model predicts neutral, the RandomForest leans positive, highlighting a mild contradiction that suggests the outlook is balanced. Recent headlines about Middle East tensions and oil price spikes reinforce the risk of short‑term volatility, keeping the overall sentiment neutral.</w:t>
            </w:r>
          </w:p>
          <w:p>
            <w:pPr>
              <w:spacing w:after="10" w:line="240" w:lineRule="auto"/>
            </w:pPr>
            <w:r>
              <w:rPr>
                <w:b/>
                <w:i w:val="0"/>
                <w:color w:val="1A2E55"/>
                <w:sz w:val="16"/>
              </w:rPr>
              <w:t xml:space="preserve">Forecast lean  </w:t>
            </w:r>
            <w:r>
              <w:rPr>
                <w:b w:val="0"/>
                <w:i w:val="0"/>
                <w:sz w:val="16"/>
              </w:rPr>
              <w:t>Rise over the next 3 trading days (chance &gt;99%); its normal 3-day swing is ±2.9%. Past record on this stock: ✓, but rise-or-fall calls marked ✓ were right only 27% in testing, so treat the direction as unknown.</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92%</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±1.2%</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95%</w:t>
            </w:r>
          </w:p>
        </w:tc>
        <w:tc>
          <w:tcPr>
            <w:tcW w:type="dxa" w:w="2016"/>
            <w:shd w:val="clear" w:color="auto" w:fill="E4F3E4"/>
          </w:tcPr>
          <w:p>
            <w:pPr>
              <w:keepNext/>
            </w:pPr>
            <w:r>
              <w:rPr>
                <w:b/>
                <w:i w:val="0"/>
                <w:color w:val="0A6E0A"/>
                <w:sz w:val="16"/>
              </w:rPr>
              <w:t>+15 pts ✓</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±1.3%</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93%</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UOB</w:t>
            </w:r>
          </w:p>
        </w:tc>
        <w:tc>
          <w:tcPr>
            <w:tcW w:type="dxa" w:w="1368"/>
          </w:tcPr>
          <w:p>
            <w:pPr>
              <w:keepNext/>
              <w:jc w:val="right"/>
            </w:pPr>
            <w:r>
              <w:rPr>
                <w:b w:val="0"/>
                <w:i w:val="0"/>
                <w:sz w:val="16"/>
              </w:rPr>
              <w:t>±1.3%</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&gt;99%</w:t>
            </w:r>
          </w:p>
        </w:tc>
        <w:tc>
          <w:tcPr>
            <w:tcW w:type="dxa" w:w="2016"/>
            <w:shd w:val="clear" w:color="auto" w:fill="FBE1E0"/>
          </w:tcPr>
          <w:p>
            <w:pPr>
              <w:keepNext/>
            </w:pPr>
            <w:r>
              <w:rPr>
                <w:b/>
                <w:i w:val="0"/>
                <w:color w:val="A12D2C"/>
                <w:sz w:val="16"/>
              </w:rPr>
              <w:t>−38 pts ✗</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85%</w:t>
            </w:r>
          </w:p>
        </w:tc>
        <w:tc>
          <w:tcPr>
            <w:tcW w:type="dxa" w:w="2016"/>
            <w:shd w:val="clear" w:color="auto" w:fill="FBE1E0"/>
          </w:tcPr>
          <w:p>
            <w:pPr>
              <w:keepNext/>
            </w:pPr>
            <w:r>
              <w:rPr>
                <w:b/>
                <w:i w:val="0"/>
                <w:color w:val="A12D2C"/>
                <w:sz w:val="16"/>
              </w:rPr>
              <w:t>−31 pts ✗</w:t>
            </w:r>
          </w:p>
        </w:tc>
      </w:tr>
      <w:tr>
        <w:tc>
          <w:tcPr>
            <w:tcW w:type="dxa" w:w="2664"/>
          </w:tcPr>
          <w:p>
            <w:pPr>
              <w:keepNext/>
            </w:pPr>
            <w:r>
              <w:rPr>
                <w:b w:val="0"/>
                <w:i w:val="0"/>
                <w:sz w:val="16"/>
              </w:rPr>
              <w:t>DBS Group</w:t>
            </w:r>
          </w:p>
        </w:tc>
        <w:tc>
          <w:tcPr>
            <w:tcW w:type="dxa" w:w="1368"/>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1C5CAB"/>
                <w:sz w:val="16"/>
              </w:rPr>
              <w:t>Rise</w:t>
            </w:r>
          </w:p>
        </w:tc>
        <w:tc>
          <w:tcPr>
            <w:tcW w:type="dxa" w:w="1008"/>
          </w:tcPr>
          <w:p>
            <w:pPr>
              <w:keepNext/>
              <w:jc w:val="right"/>
            </w:pPr>
            <w:r>
              <w:rPr>
                <w:b w:val="0"/>
                <w:i w:val="0"/>
                <w:sz w:val="16"/>
              </w:rPr>
              <w:t>89%</w:t>
            </w:r>
          </w:p>
        </w:tc>
        <w:tc>
          <w:tcPr>
            <w:tcW w:type="dxa" w:w="2016"/>
            <w:shd w:val="clear" w:color="auto" w:fill="FBE1E0"/>
          </w:tcPr>
          <w:p>
            <w:pPr>
              <w:keepNext/>
            </w:pPr>
            <w:r>
              <w:rPr>
                <w:b/>
                <w:i w:val="0"/>
                <w:color w:val="A12D2C"/>
                <w:sz w:val="16"/>
              </w:rPr>
              <w:t>−8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98%</w:t>
            </w:r>
          </w:p>
        </w:tc>
        <w:tc>
          <w:tcPr>
            <w:tcW w:type="dxa" w:w="2016"/>
            <w:shd w:val="clear" w:color="auto" w:fill="FBE1E0"/>
          </w:tcPr>
          <w:p>
            <w:pPr>
              <w:keepNext/>
            </w:pPr>
            <w:r>
              <w:rPr>
                <w:b/>
                <w:i w:val="0"/>
                <w:color w:val="A12D2C"/>
                <w:sz w:val="16"/>
              </w:rPr>
              <w:t>−8 pts ✗</w:t>
            </w:r>
          </w:p>
        </w:tc>
      </w:tr>
      <w:tr>
        <w:tc>
          <w:tcPr>
            <w:tcW w:type="dxa" w:w="2664"/>
          </w:tcPr>
          <w:p>
            <w:pPr>
              <w:keepNext/>
            </w:pPr>
            <w:r>
              <w:rPr>
                <w:b w:val="0"/>
                <w:i w:val="0"/>
                <w:sz w:val="16"/>
              </w:rPr>
              <w:t>SGX Group</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97%</w:t>
            </w:r>
          </w:p>
        </w:tc>
        <w:tc>
          <w:tcPr>
            <w:tcW w:type="dxa" w:w="2016"/>
            <w:shd w:val="clear" w:color="auto" w:fill="FBE1E0"/>
          </w:tcPr>
          <w:p>
            <w:pPr>
              <w:keepNext/>
            </w:pPr>
            <w:r>
              <w:rPr>
                <w:b/>
                <w:i w:val="0"/>
                <w:color w:val="A12D2C"/>
                <w:sz w:val="16"/>
              </w:rPr>
              <w:t>−23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&gt;99%</w:t>
            </w:r>
          </w:p>
        </w:tc>
        <w:tc>
          <w:tcPr>
            <w:tcW w:type="dxa" w:w="2016"/>
            <w:shd w:val="clear" w:color="auto" w:fill="FBE1E0"/>
          </w:tcPr>
          <w:p>
            <w:pPr>
              <w:keepNext/>
            </w:pPr>
            <w:r>
              <w:rPr>
                <w:b/>
                <w:i w:val="0"/>
                <w:color w:val="A12D2C"/>
                <w:sz w:val="16"/>
              </w:rPr>
              <w:t>−15 pts ✗</w:t>
            </w:r>
          </w:p>
        </w:tc>
      </w:tr>
      <w:tr>
        <w:tc>
          <w:tcPr>
            <w:tcW w:type="dxa" w:w="2664"/>
          </w:tcPr>
          <w:p>
            <w:pPr>
              <w:keepNext/>
            </w:pPr>
            <w:r>
              <w:rPr>
                <w:b w:val="0"/>
                <w:i w:val="0"/>
                <w:sz w:val="16"/>
              </w:rPr>
              <w:t>Wilmar Intl</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92%</w:t>
            </w:r>
          </w:p>
        </w:tc>
        <w:tc>
          <w:tcPr>
            <w:tcW w:type="dxa" w:w="2016"/>
            <w:shd w:val="clear" w:color="auto" w:fill="E4F3E4"/>
          </w:tcPr>
          <w:p>
            <w:pPr>
              <w:keepNext/>
            </w:pPr>
            <w:r>
              <w:rPr>
                <w:b/>
                <w:i w:val="0"/>
                <w:color w:val="0A6E0A"/>
                <w:sz w:val="16"/>
              </w:rPr>
              <w:t>+31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±2.2%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97%</w:t>
            </w:r>
          </w:p>
        </w:tc>
        <w:tc>
          <w:tcPr>
            <w:tcW w:type="dxa" w:w="2016"/>
            <w:shd w:val="clear" w:color="auto" w:fill="FBE1E0"/>
          </w:tcPr>
          <w:p>
            <w:pPr>
              <w:keepNext/>
            </w:pPr>
            <w:r>
              <w:rPr>
                <w:b/>
                <w:i w:val="0"/>
                <w:color w:val="A12D2C"/>
                <w:sz w:val="16"/>
              </w:rPr>
              <w:t>−8 pts ✗</w:t>
            </w:r>
          </w:p>
        </w:tc>
      </w:tr>
      <w:tr>
        <w:tc>
          <w:tcPr>
            <w:tcW w:type="dxa" w:w="2664"/>
          </w:tcPr>
          <w:p>
            <w:pPr>
              <w:keepNext/>
            </w:pPr>
            <w:r>
              <w:rPr>
                <w:b w:val="0"/>
                <w:i w:val="0"/>
                <w:sz w:val="16"/>
              </w:rPr>
              <w:t>Singtel</w:t>
            </w:r>
          </w:p>
        </w:tc>
        <w:tc>
          <w:tcPr>
            <w:tcW w:type="dxa" w:w="1368"/>
          </w:tcPr>
          <w:p>
            <w:pPr>
              <w:keepNext/>
              <w:jc w:val="right"/>
            </w:pPr>
            <w:r>
              <w:rPr>
                <w:b w:val="0"/>
                <w:i w:val="0"/>
                <w:sz w:val="16"/>
              </w:rPr>
              <w:t>±2.3%</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96%</w:t>
            </w:r>
          </w:p>
        </w:tc>
        <w:tc>
          <w:tcPr>
            <w:tcW w:type="dxa" w:w="2016"/>
            <w:shd w:val="clear" w:color="auto" w:fill="FBE1E0"/>
          </w:tcPr>
          <w:p>
            <w:pPr>
              <w:keepNext/>
            </w:pPr>
            <w:r>
              <w:rPr>
                <w:b/>
                <w:i w:val="0"/>
                <w:color w:val="A12D2C"/>
                <w:sz w:val="16"/>
              </w:rPr>
              <w:t>−38 pts ✗</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±2.7%</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96%</w:t>
            </w:r>
          </w:p>
        </w:tc>
        <w:tc>
          <w:tcPr>
            <w:tcW w:type="dxa" w:w="2016"/>
            <w:shd w:val="clear" w:color="auto" w:fill="E4F3E4"/>
          </w:tcPr>
          <w:p>
            <w:pPr>
              <w:keepNext/>
            </w:pPr>
            <w:r>
              <w:rPr>
                <w:b/>
                <w:i w:val="0"/>
                <w:color w:val="0A6E0A"/>
                <w:sz w:val="16"/>
              </w:rPr>
              <w:t>+8 pts ✓</w:t>
            </w:r>
          </w:p>
        </w:tc>
      </w:tr>
      <w:tr>
        <w:tc>
          <w:tcPr>
            <w:tcW w:type="dxa" w:w="2664"/>
          </w:tcPr>
          <w:p>
            <w:r>
              <w:rPr>
                <w:b w:val="0"/>
                <w:i w:val="0"/>
                <w:sz w:val="16"/>
              </w:rPr>
              <w:t>ST Engineering</w:t>
            </w:r>
          </w:p>
        </w:tc>
        <w:tc>
          <w:tcPr>
            <w:tcW w:type="dxa" w:w="1368"/>
          </w:tcPr>
          <w:p>
            <w:pPr>
              <w:jc w:val="right"/>
            </w:pPr>
            <w:r>
              <w:rPr>
                <w:b w:val="0"/>
                <w:i w:val="0"/>
                <w:sz w:val="16"/>
              </w:rPr>
              <w:t>±2.9%</w:t>
            </w:r>
          </w:p>
        </w:tc>
        <w:tc>
          <w:tcPr>
            <w:tcW w:type="dxa" w:w="1440"/>
          </w:tcPr>
          <w:p>
            <w:r>
              <w:rPr>
                <w:b w:val="0"/>
                <w:i w:val="0"/>
                <w:sz w:val="16"/>
              </w:rPr>
            </w:r>
          </w:p>
        </w:tc>
        <w:tc>
          <w:tcPr>
            <w:tcW w:type="dxa" w:w="1440"/>
          </w:tcPr>
          <w:p>
            <w:r>
              <w:rPr>
                <w:b w:val="0"/>
                <w:i w:val="0"/>
                <w:color w:val="1C5CAB"/>
                <w:sz w:val="16"/>
              </w:rPr>
              <w:t>Rise</w:t>
            </w:r>
          </w:p>
        </w:tc>
        <w:tc>
          <w:tcPr>
            <w:tcW w:type="dxa" w:w="1008"/>
          </w:tcPr>
          <w:p>
            <w:pPr>
              <w:jc w:val="right"/>
            </w:pPr>
            <w:r>
              <w:rPr>
                <w:b w:val="0"/>
                <w:i w:val="0"/>
                <w:sz w:val="16"/>
              </w:rPr>
              <w:t>&gt;99%</w:t>
            </w:r>
          </w:p>
        </w:tc>
        <w:tc>
          <w:tcPr>
            <w:tcW w:type="dxa" w:w="2016"/>
            <w:shd w:val="clear" w:color="auto" w:fill="E4F3E4"/>
          </w:tcPr>
          <w:p>
            <w:r>
              <w:rPr>
                <w:b/>
                <w:i w:val="0"/>
                <w:color w:val="0A6E0A"/>
                <w:sz w:val="16"/>
              </w:rPr>
              <w:t>+31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Sembcorp Industries, Raffles Medical Group, ComfortDelGro and DBS Group: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43% of 195 past calls, against 55% for always guessing 'no big move'. Calls marked ✓ were right 49%, the rest 36%, but the gain is in 'no big move' calls (61% right); ✓ rise-or-fall calls were right only 27% of 37, so a ✓ never makes a direction likely. Before its probabilities were refitted, chances of 90% or more were right only 41%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540 company news articles (each read as positive, negative or neutral by FinBERT, a finance language model) and 72 political articles; price-chart indicators (RSI, MACD, Bollinger bands, VWAP, weekly trend); the market backdrop (VIX 16.5, US yield spread); Singapore ETF options positioning (put/call 0.71).</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Lag (4)</w:t>
            </w:r>
          </w:p>
        </w:tc>
        <w:tc>
          <w:tcPr>
            <w:tcW w:type="dxa" w:w="3312"/>
          </w:tcPr>
          <w:p>
            <w:r>
              <w:rPr>
                <w:b w:val="0"/>
                <w:i w:val="0"/>
                <w:sz w:val="15"/>
              </w:rPr>
              <w:t>DBS Group, CapitaLand Integ. Comm. Trust, Mapletree Pan Asia Comm. Trust, Singtel</w:t>
            </w:r>
          </w:p>
        </w:tc>
        <w:tc>
          <w:tcPr>
            <w:tcW w:type="dxa" w:w="4824"/>
          </w:tcPr>
          <w:p>
            <w:r>
              <w:rPr>
                <w:b w:val="0"/>
                <w:i w:val="0"/>
                <w:sz w:val="15"/>
              </w:rPr>
              <w:t>price went against the signals; the model sides with the signals</w:t>
            </w:r>
          </w:p>
        </w:tc>
      </w:tr>
      <w:tr>
        <w:tc>
          <w:tcPr>
            <w:tcW w:type="dxa" w:w="1800"/>
            <w:shd w:val="clear" w:color="auto" w:fill="F7F7F5"/>
          </w:tcPr>
          <w:p>
            <w:r>
              <w:rPr>
                <w:b/>
                <w:i w:val="0"/>
                <w:sz w:val="15"/>
              </w:rPr>
              <w:t>Model-only view (4)</w:t>
            </w:r>
          </w:p>
        </w:tc>
        <w:tc>
          <w:tcPr>
            <w:tcW w:type="dxa" w:w="3312"/>
            <w:shd w:val="clear" w:color="auto" w:fill="F7F7F5"/>
          </w:tcPr>
          <w:p>
            <w:r>
              <w:rPr>
                <w:b w:val="0"/>
                <w:i w:val="0"/>
                <w:sz w:val="15"/>
              </w:rPr>
              <w:t>UOB, Keppel Corp, ST Engineering, Wilmar Intl</w:t>
            </w:r>
          </w:p>
        </w:tc>
        <w:tc>
          <w:tcPr>
            <w:tcW w:type="dxa" w:w="4824"/>
            <w:shd w:val="clear" w:color="auto" w:fill="F7F7F5"/>
          </w:tcPr>
          <w:p>
            <w:r>
              <w:rPr>
                <w:b w:val="0"/>
                <w:i w:val="0"/>
                <w:sz w:val="15"/>
              </w:rPr>
              <w:t>signals flat, but the model has a view</w:t>
            </w:r>
          </w:p>
        </w:tc>
      </w:tr>
      <w:tr>
        <w:tc>
          <w:tcPr>
            <w:tcW w:type="dxa" w:w="1800"/>
          </w:tcPr>
          <w:p>
            <w:r>
              <w:rPr>
                <w:b/>
                <w:i w:val="0"/>
                <w:sz w:val="15"/>
              </w:rPr>
              <w:t>Quiet (4)</w:t>
            </w:r>
          </w:p>
        </w:tc>
        <w:tc>
          <w:tcPr>
            <w:tcW w:type="dxa" w:w="3312"/>
          </w:tcPr>
          <w:p>
            <w:r>
              <w:rPr>
                <w:b w:val="0"/>
                <w:i w:val="0"/>
                <w:sz w:val="15"/>
              </w:rPr>
              <w:t>Mapletree Industrial, Sembcorp Industries,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Muted, pending (3)</w:t>
            </w:r>
          </w:p>
        </w:tc>
        <w:tc>
          <w:tcPr>
            <w:tcW w:type="dxa" w:w="3312"/>
            <w:shd w:val="clear" w:color="auto" w:fill="F7F7F5"/>
          </w:tcPr>
          <w:p>
            <w:r>
              <w:rPr>
                <w:b w:val="0"/>
                <w:i w:val="0"/>
                <w:sz w:val="15"/>
              </w:rPr>
              <w:t>OCBC Bank, Ascendas REIT, SGX Group</w:t>
            </w:r>
          </w:p>
        </w:tc>
        <w:tc>
          <w:tcPr>
            <w:tcW w:type="dxa" w:w="4824"/>
            <w:shd w:val="clear" w:color="auto" w:fill="F7F7F5"/>
          </w:tcPr>
          <w:p>
            <w:r>
              <w:rPr>
                <w:b w:val="0"/>
                <w:i w:val="0"/>
                <w:sz w:val="15"/>
              </w:rPr>
              <w:t>signals leaned one way, price barely moved; the model still expects that direction</w:t>
            </w:r>
          </w:p>
        </w:tc>
      </w:tr>
    </w:tbl>
    <w:p>
      <w:pPr>
        <w:spacing w:after="40"/>
      </w:pPr>
      <w:r>
        <w:rPr>
          <w:b w:val="0"/>
          <w:i w:val="0"/>
          <w:color w:val="52514E"/>
          <w:sz w:val="15"/>
        </w:rPr>
        <w:t>The other patterns in the 11-pattern engine did not occur today; the full set is defined in the final report, Appendix C. The contradiction check rated 2 of 15 readings strongly mixed (named on the cards) and 10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43% of 195 vs 55%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41% of the time (70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49%, others 36%; the gain is in 'no big move' calls (61%). ✓ rise-or-fall calls: 27% of 37.</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10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