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Friday 11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07–11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-0.2% on average (4 up, 7 down); over 07–11 Sep they moved -1.8%. Weakest: Financial Services (-4.0%), Consumer Goods (-2.2%) and Banking (-2.0%); held up best: Telecommunications (-0.4%) and Industrials (-1.1%).</w:t>
      </w:r>
    </w:p>
    <w:p>
      <w:pPr>
        <w:pStyle w:val="ListBullet"/>
        <w:spacing w:after="40"/>
      </w:pPr>
      <w:r>
        <w:rPr>
          <w:b/>
          <w:i w:val="0"/>
          <w:color w:val="1A2E55"/>
          <w:sz w:val="19"/>
        </w:rPr>
        <w:t xml:space="preserve">Why. </w:t>
      </w:r>
      <w:r>
        <w:rPr>
          <w:b w:val="0"/>
          <w:i w:val="0"/>
          <w:sz w:val="19"/>
        </w:rPr>
        <w:t>Biggest movers over 07–11 Sep: SGX Group (-4.0%), Wilmar Intl (-2.9%) and CapitaLand Integ. Comm. Trust (-2.6%). Wilmar Intl moved without a company news story; the move looks sector-wide. For SGX Group and CapitaLand Integ. Comm. Trust,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17.1), and Singapore ETF options are neutral (put/call 0.77).</w:t>
      </w:r>
    </w:p>
    <w:p>
      <w:pPr>
        <w:pStyle w:val="ListBullet"/>
        <w:spacing w:after="40"/>
      </w:pPr>
      <w:r>
        <w:rPr>
          <w:b/>
          <w:i w:val="0"/>
          <w:color w:val="1A2E55"/>
          <w:sz w:val="19"/>
        </w:rPr>
        <w:t xml:space="preserve">New today. </w:t>
      </w:r>
      <w:r>
        <w:rPr>
          <w:b w:val="0"/>
          <w:i w:val="0"/>
          <w:sz w:val="19"/>
        </w:rPr>
        <w:t>Today's news added a positive signal for CapitaLand Integ. Comm. Trust (not yet in the price), DBS Group (not yet in the price), OCBC Bank (already in the price), SGX Group (the price went the other way) and one more. See section 2.</w:t>
      </w:r>
    </w:p>
    <w:p>
      <w:pPr>
        <w:pStyle w:val="ListBullet"/>
        <w:spacing w:after="40"/>
      </w:pPr>
      <w:r>
        <w:rPr>
          <w:b/>
          <w:i w:val="0"/>
          <w:color w:val="1A2E55"/>
          <w:sz w:val="19"/>
        </w:rPr>
        <w:t xml:space="preserve">Next 3 days. </w:t>
      </w:r>
      <w:r>
        <w:rPr>
          <w:b w:val="0"/>
          <w:i w:val="0"/>
          <w:sz w:val="19"/>
        </w:rPr>
        <w:t>The forecast model leans towards a rise for six stocks; a fall for Singtel and no big move for the rest (only CapitaLand Integ. Comm. Trust, Ascendas REIT and Wilmar Intl with a ✓ record); normal 3-day swings run from ±1.0% (Mapletree Industrial) to ±2.2% (Sembcorp Industries),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Wilmar Intl, where today's news gives no signal, but the forecast model leans to a rise; Ascendas REIT, where today's news gives no signal, but the forecast model leans to a rise. Their cards are worth reading first. The moves in Wilmar Intl came without company news, so sector or market news is the place to check before reacting. If you prefer less day-to-day movement, Mapletree Industrial, ST Engineering, Raffles Medical Group, SGX Group and Sembcorp Industries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No market-wide signal fired today.</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07–11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CapitaLand Integ.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-2.6%</w:t>
            </w:r>
          </w:p>
        </w:tc>
        <w:tc>
          <w:tcPr>
            <w:tcW w:type="dxa" w:w="1037"/>
            <w:shd w:val="clear" w:color="auto" w:fill="DCEAFB"/>
          </w:tcPr>
          <w:p>
            <w:r>
              <w:rPr>
                <w:b/>
                <w:i w:val="0"/>
                <w:color w:val="1C5CAB"/>
                <w:sz w:val="15"/>
              </w:rPr>
              <w:t>Positive</w:t>
            </w:r>
          </w:p>
        </w:tc>
        <w:tc>
          <w:tcPr>
            <w:tcW w:type="dxa" w:w="1382"/>
          </w:tcPr>
          <w:p>
            <w:r>
              <w:rPr>
                <w:b w:val="0"/>
                <w:i w:val="0"/>
                <w:sz w:val="15"/>
              </w:rPr>
              <w:t>Mostly positive (28)</w:t>
            </w:r>
          </w:p>
        </w:tc>
        <w:tc>
          <w:tcPr>
            <w:tcW w:type="dxa" w:w="1872"/>
          </w:tcPr>
          <w:p>
            <w:r>
              <w:rPr>
                <w:b w:val="0"/>
                <w:i w:val="0"/>
                <w:sz w:val="15"/>
              </w:rPr>
              <w:t>Oversold · Below range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52514E"/>
                <w:sz w:val="15"/>
              </w:rPr>
              <w:t>+0.3%</w:t>
            </w:r>
          </w:p>
        </w:tc>
        <w:tc>
          <w:tcPr>
            <w:tcW w:type="dxa" w:w="792"/>
            <w:shd w:val="clear" w:color="auto" w:fill="F7F7F5"/>
          </w:tcPr>
          <w:p>
            <w:pPr>
              <w:jc w:val="right"/>
            </w:pPr>
            <w:r>
              <w:rPr>
                <w:b w:val="0"/>
                <w:i w:val="0"/>
                <w:color w:val="A12D2C"/>
                <w:sz w:val="15"/>
              </w:rPr>
              <w:t>-2.1%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1C5CAB"/>
                <w:sz w:val="15"/>
              </w:rPr>
              <w:t>+0.7%</w:t>
            </w:r>
          </w:p>
        </w:tc>
        <w:tc>
          <w:tcPr>
            <w:tcW w:type="dxa" w:w="792"/>
          </w:tcPr>
          <w:p>
            <w:pPr>
              <w:jc w:val="right"/>
            </w:pPr>
            <w:r>
              <w:rPr>
                <w:b w:val="0"/>
                <w:i w:val="0"/>
                <w:color w:val="A12D2C"/>
                <w:sz w:val="15"/>
              </w:rPr>
              <w:t>-2.1%</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4</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-1.5%</w:t>
            </w:r>
          </w:p>
        </w:tc>
        <w:tc>
          <w:tcPr>
            <w:tcW w:type="dxa" w:w="792"/>
            <w:shd w:val="clear" w:color="auto" w:fill="F7F7F5"/>
          </w:tcPr>
          <w:p>
            <w:pPr>
              <w:jc w:val="right"/>
            </w:pPr>
            <w:r>
              <w:rPr>
                <w:b w:val="0"/>
                <w:i w:val="0"/>
                <w:color w:val="A12D2C"/>
                <w:sz w:val="15"/>
              </w:rPr>
              <w:t>-4.0%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Below range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5</w:t>
            </w:r>
          </w:p>
        </w:tc>
        <w:tc>
          <w:tcPr>
            <w:tcW w:type="dxa" w:w="2189"/>
          </w:tcPr>
          <w:p>
            <w:r>
              <w:rPr>
                <w:b w:val="0"/>
                <w:i w:val="0"/>
                <w:sz w:val="15"/>
              </w:rPr>
              <w:t>ST Engineering ★</w:t>
            </w:r>
          </w:p>
        </w:tc>
        <w:tc>
          <w:tcPr>
            <w:tcW w:type="dxa" w:w="662"/>
          </w:tcPr>
          <w:p>
            <w:pPr>
              <w:jc w:val="right"/>
            </w:pPr>
            <w:r>
              <w:rPr>
                <w:b w:val="0"/>
                <w:i w:val="0"/>
                <w:color w:val="52514E"/>
                <w:sz w:val="15"/>
              </w:rPr>
              <w:t>-0.3%</w:t>
            </w:r>
          </w:p>
        </w:tc>
        <w:tc>
          <w:tcPr>
            <w:tcW w:type="dxa" w:w="792"/>
          </w:tcPr>
          <w:p>
            <w:pPr>
              <w:jc w:val="right"/>
            </w:pPr>
            <w:r>
              <w:rPr>
                <w:b w:val="0"/>
                <w:i w:val="0"/>
                <w:color w:val="A12D2C"/>
                <w:sz w:val="15"/>
              </w:rPr>
              <w:t>-2.3%</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-2.4%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(22)</w:t>
            </w:r>
          </w:p>
        </w:tc>
        <w:tc>
          <w:tcPr>
            <w:tcW w:type="dxa" w:w="1872"/>
            <w:shd w:val="clear" w:color="auto" w:fill="F7F7F5"/>
          </w:tcPr>
          <w:p>
            <w:r>
              <w:rPr>
                <w:b w:val="0"/>
                <w:i w:val="0"/>
                <w:sz w:val="15"/>
              </w:rPr>
              <w:t>Oversold · Weekly down · Below range</w:t>
            </w:r>
          </w:p>
        </w:tc>
        <w:tc>
          <w:tcPr>
            <w:tcW w:type="dxa" w:w="1642"/>
            <w:shd w:val="clear" w:color="auto" w:fill="F7F7F5"/>
          </w:tcPr>
          <w:p>
            <w:r>
              <w:rPr>
                <w:b w:val="0"/>
                <w:i w:val="0"/>
                <w:sz w:val="15"/>
              </w:rPr>
              <w:t>Moved without a signal</w:t>
            </w:r>
          </w:p>
        </w:tc>
      </w:tr>
      <w:tr>
        <w:tc>
          <w:tcPr>
            <w:tcW w:type="dxa" w:w="360"/>
          </w:tcPr>
          <w:p>
            <w:r>
              <w:rPr>
                <w:b w:val="0"/>
                <w:i w:val="0"/>
                <w:sz w:val="15"/>
              </w:rPr>
              <w:t>7</w:t>
            </w:r>
          </w:p>
        </w:tc>
        <w:tc>
          <w:tcPr>
            <w:tcW w:type="dxa" w:w="2189"/>
          </w:tcPr>
          <w:p>
            <w:r>
              <w:rPr>
                <w:b w:val="0"/>
                <w:i w:val="0"/>
                <w:sz w:val="15"/>
              </w:rPr>
              <w:t>Sembcorp Industries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-0.2%</w:t>
            </w:r>
          </w:p>
        </w:tc>
        <w:tc>
          <w:tcPr>
            <w:tcW w:type="dxa" w:w="1037"/>
            <w:shd w:val="clear" w:color="auto" w:fill="EFEEEA"/>
          </w:tcPr>
          <w:p>
            <w:r>
              <w:rPr>
                <w:b/>
                <w:i w:val="0"/>
                <w:color w:val="52514E"/>
                <w:sz w:val="15"/>
              </w:rPr>
              <w:t>Neutral</w:t>
            </w:r>
          </w:p>
        </w:tc>
        <w:tc>
          <w:tcPr>
            <w:tcW w:type="dxa" w:w="1382"/>
          </w:tcPr>
          <w:p>
            <w:r>
              <w:rPr>
                <w:b w:val="0"/>
                <w:i w:val="0"/>
                <w:sz w:val="15"/>
              </w:rPr>
              <w:t>Mostly positive (25)</w:t>
            </w:r>
          </w:p>
        </w:tc>
        <w:tc>
          <w:tcPr>
            <w:tcW w:type="dxa" w:w="1872"/>
          </w:tcPr>
          <w:p>
            <w:r>
              <w:rPr>
                <w:b w:val="0"/>
                <w:i w:val="0"/>
                <w:sz w:val="15"/>
              </w:rPr>
              <w:t>Trend turned down · Above avg price</w:t>
            </w:r>
          </w:p>
        </w:tc>
        <w:tc>
          <w:tcPr>
            <w:tcW w:type="dxa" w:w="1642"/>
          </w:tcPr>
          <w:p>
            <w:r>
              <w:rPr>
                <w:b w:val="0"/>
                <w:i w:val="0"/>
                <w:sz w:val="15"/>
              </w:rPr>
              <w:t>No signal, little move</w:t>
            </w:r>
          </w:p>
        </w:tc>
      </w:tr>
      <w:tr>
        <w:tc>
          <w:tcPr>
            <w:tcW w:type="dxa" w:w="360"/>
            <w:shd w:val="clear" w:color="auto" w:fill="F7F7F5"/>
          </w:tcPr>
          <w:p>
            <w:r>
              <w:rPr>
                <w:b w:val="0"/>
                <w:i w:val="0"/>
                <w:sz w:val="15"/>
              </w:rPr>
              <w:t>8</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A12D2C"/>
                <w:sz w:val="15"/>
              </w:rPr>
              <w:t>-1.8%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(29)</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Singtel ★</w:t>
            </w:r>
          </w:p>
        </w:tc>
        <w:tc>
          <w:tcPr>
            <w:tcW w:type="dxa" w:w="662"/>
          </w:tcPr>
          <w:p>
            <w:pPr>
              <w:jc w:val="right"/>
            </w:pPr>
            <w:r>
              <w:rPr>
                <w:b w:val="0"/>
                <w:i w:val="0"/>
                <w:color w:val="A12D2C"/>
                <w:sz w:val="15"/>
              </w:rPr>
              <w:t>-0.4%</w:t>
            </w:r>
          </w:p>
        </w:tc>
        <w:tc>
          <w:tcPr>
            <w:tcW w:type="dxa" w:w="792"/>
          </w:tcPr>
          <w:p>
            <w:pPr>
              <w:jc w:val="right"/>
            </w:pPr>
            <w:r>
              <w:rPr>
                <w:b w:val="0"/>
                <w:i w:val="0"/>
                <w:color w:val="A12D2C"/>
                <w:sz w:val="15"/>
              </w:rPr>
              <w:t>-0.4%</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Wilmar Intl ★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UOB ★</w:t>
            </w:r>
          </w:p>
        </w:tc>
        <w:tc>
          <w:tcPr>
            <w:tcW w:type="dxa" w:w="662"/>
          </w:tcPr>
          <w:p>
            <w:pPr>
              <w:jc w:val="right"/>
            </w:pPr>
            <w:r>
              <w:rPr>
                <w:b w:val="0"/>
                <w:i w:val="0"/>
                <w:color w:val="1C5CAB"/>
                <w:sz w:val="15"/>
              </w:rPr>
              <w:t>+0.7%</w:t>
            </w:r>
          </w:p>
        </w:tc>
        <w:tc>
          <w:tcPr>
            <w:tcW w:type="dxa" w:w="792"/>
          </w:tcPr>
          <w:p>
            <w:pPr>
              <w:jc w:val="right"/>
            </w:pPr>
            <w:r>
              <w:rPr>
                <w:b w:val="0"/>
                <w:i w:val="0"/>
                <w:color w:val="A12D2C"/>
                <w:sz w:val="15"/>
              </w:rPr>
              <w:t>-1.8%</w:t>
            </w:r>
          </w:p>
        </w:tc>
        <w:tc>
          <w:tcPr>
            <w:tcW w:type="dxa" w:w="1037"/>
            <w:shd w:val="clear" w:color="auto" w:fill="EFEEEA"/>
          </w:tcPr>
          <w:p>
            <w:r>
              <w:rPr>
                <w:b/>
                <w:i w:val="0"/>
                <w:color w:val="52514E"/>
                <w:sz w:val="15"/>
              </w:rPr>
              <w:t>Neutral</w:t>
            </w:r>
          </w:p>
        </w:tc>
        <w:tc>
          <w:tcPr>
            <w:tcW w:type="dxa" w:w="1382"/>
          </w:tcPr>
          <w:p>
            <w:r>
              <w:rPr>
                <w:b w:val="0"/>
                <w:i w:val="0"/>
                <w:sz w:val="15"/>
              </w:rPr>
              <w:t>Mixed (49)</w:t>
            </w:r>
          </w:p>
        </w:tc>
        <w:tc>
          <w:tcPr>
            <w:tcW w:type="dxa" w:w="1872"/>
          </w:tcPr>
          <w:p>
            <w:r>
              <w:rPr>
                <w:b w:val="0"/>
                <w:i w:val="0"/>
                <w:sz w:val="15"/>
              </w:rPr>
              <w:t>Trend turned down · Above avg price</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A12D2C"/>
                <w:sz w:val="15"/>
              </w:rPr>
              <w:t>-0.3%</w:t>
            </w:r>
          </w:p>
        </w:tc>
        <w:tc>
          <w:tcPr>
            <w:tcW w:type="dxa" w:w="792"/>
            <w:shd w:val="clear" w:color="auto" w:fill="F7F7F5"/>
          </w:tcPr>
          <w:p>
            <w:pPr>
              <w:jc w:val="right"/>
            </w:pPr>
            <w:r>
              <w:rPr>
                <w:b w:val="0"/>
                <w:i w:val="0"/>
                <w:color w:val="A12D2C"/>
                <w:sz w:val="15"/>
              </w:rPr>
              <w:t>-1.0%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(31)</w:t>
            </w:r>
          </w:p>
        </w:tc>
        <w:tc>
          <w:tcPr>
            <w:tcW w:type="dxa" w:w="1872"/>
            <w:shd w:val="clear" w:color="auto" w:fill="F7F7F5"/>
          </w:tcPr>
          <w:p>
            <w:r>
              <w:rPr>
                <w:b w:val="0"/>
                <w:i w:val="0"/>
                <w:sz w:val="15"/>
              </w:rPr>
              <w:t>Trend turned down · Above avg price</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Ascendas REIT ★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-1.7%</w:t>
            </w:r>
          </w:p>
        </w:tc>
        <w:tc>
          <w:tcPr>
            <w:tcW w:type="dxa" w:w="1037"/>
            <w:shd w:val="clear" w:color="auto" w:fill="EFEEEA"/>
          </w:tcPr>
          <w:p>
            <w:r>
              <w:rPr>
                <w:b/>
                <w:i w:val="0"/>
                <w:color w:val="52514E"/>
                <w:sz w:val="15"/>
              </w:rPr>
              <w:t>Neutral</w:t>
            </w:r>
          </w:p>
        </w:tc>
        <w:tc>
          <w:tcPr>
            <w:tcW w:type="dxa" w:w="1382"/>
          </w:tcPr>
          <w:p>
            <w:r>
              <w:rPr>
                <w:b w:val="0"/>
                <w:i w:val="0"/>
                <w:sz w:val="15"/>
              </w:rPr>
              <w:t>Mixed (19)</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(46)</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A12D2C"/>
                <w:sz w:val="15"/>
              </w:rPr>
              <w:t>-0.5%</w:t>
            </w:r>
          </w:p>
        </w:tc>
        <w:tc>
          <w:tcPr>
            <w:tcW w:type="dxa" w:w="792"/>
          </w:tcPr>
          <w:p>
            <w:pPr>
              <w:jc w:val="right"/>
            </w:pPr>
            <w:r>
              <w:rPr>
                <w:b w:val="0"/>
                <w:i w:val="0"/>
                <w:color w:val="A12D2C"/>
                <w:sz w:val="15"/>
              </w:rPr>
              <w:t>-1.0%</w:t>
            </w:r>
          </w:p>
        </w:tc>
        <w:tc>
          <w:tcPr>
            <w:tcW w:type="dxa" w:w="1037"/>
            <w:shd w:val="clear" w:color="auto" w:fill="EFEEEA"/>
          </w:tcPr>
          <w:p>
            <w:r>
              <w:rPr>
                <w:b/>
                <w:i w:val="0"/>
                <w:color w:val="52514E"/>
                <w:sz w:val="15"/>
              </w:rPr>
              <w:t>Neutral</w:t>
            </w:r>
          </w:p>
        </w:tc>
        <w:tc>
          <w:tcPr>
            <w:tcW w:type="dxa" w:w="1382"/>
          </w:tcPr>
          <w:p>
            <w:r>
              <w:rPr>
                <w:b w:val="0"/>
                <w:i w:val="0"/>
                <w:sz w:val="15"/>
              </w:rPr>
              <w:t>Mostly negative (24)</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(2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07–11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11.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Wilmar International</w:t>
            </w:r>
            <w:r>
              <w:rPr>
                <w:b w:val="0"/>
                <w:i w:val="0"/>
                <w:color w:val="52514E"/>
                <w:sz w:val="17"/>
              </w:rPr>
              <w:t xml:space="preserve">   Consumer Goods  ·  -2.9% over 07–11 Sep</w:t>
            </w:r>
          </w:p>
          <w:p>
            <w:pPr>
              <w:spacing w:after="10" w:line="240" w:lineRule="auto"/>
            </w:pPr>
            <w:r>
              <w:rPr>
                <w:b/>
                <w:i w:val="0"/>
                <w:color w:val="1A2E55"/>
                <w:sz w:val="16"/>
              </w:rPr>
              <w:t xml:space="preserve">In short (AI-written, checked)  </w:t>
            </w:r>
            <w:r>
              <w:rPr>
                <w:b w:val="0"/>
                <w:i w:val="0"/>
                <w:sz w:val="16"/>
              </w:rPr>
              <w:t>Wilmar International fell 2.9% over 07–11 Sep. The news today is mixed and does not clearly explain the move. The forecast model suggests a rise, but its record is only a weak signal.</w:t>
            </w:r>
          </w:p>
          <w:p>
            <w:pPr>
              <w:spacing w:after="10" w:line="240" w:lineRule="auto"/>
            </w:pPr>
            <w:r>
              <w:rPr>
                <w:b/>
                <w:i w:val="0"/>
                <w:color w:val="1A2E55"/>
                <w:sz w:val="16"/>
              </w:rPr>
              <w:t xml:space="preserve">What happened  </w:t>
            </w:r>
            <w:r>
              <w:rPr>
                <w:b w:val="0"/>
                <w:i w:val="0"/>
                <w:sz w:val="16"/>
              </w:rPr>
              <w:t>Fell 2.9% over 07–11 Sep, most of it on Tue 08 Sep (-1.8%). Today +0.0%.</w:t>
            </w:r>
          </w:p>
          <w:p>
            <w:pPr>
              <w:spacing w:after="10" w:line="240" w:lineRule="auto"/>
            </w:pPr>
            <w:r>
              <w:rPr>
                <w:b/>
                <w:i w:val="0"/>
                <w:color w:val="1A2E55"/>
                <w:sz w:val="16"/>
              </w:rPr>
              <w:t xml:space="preserve">Today: news vs price  </w:t>
            </w:r>
            <w:r>
              <w:rPr>
                <w:b w:val="0"/>
                <w:i w:val="0"/>
                <w:sz w:val="16"/>
              </w:rPr>
              <w:t>No news signal today (neutral reading); the price was unchanged.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2.9% over 07–11 Sep, its sector peer ComfortDelGro -1.6%, and the 15 stocks -1.8% on average. So there is no company story in the news, and the move looks sector-wide.</w:t>
            </w:r>
          </w:p>
          <w:p>
            <w:pPr>
              <w:spacing w:after="10" w:line="240" w:lineRule="auto"/>
            </w:pPr>
            <w:r>
              <w:rPr>
                <w:b/>
                <w:i w:val="0"/>
                <w:color w:val="1A2E55"/>
                <w:sz w:val="16"/>
              </w:rPr>
              <w:t xml:space="preserve">News today  </w:t>
            </w:r>
            <w:r>
              <w:rPr>
                <w:b w:val="0"/>
                <w:i w:val="0"/>
                <w:sz w:val="16"/>
              </w:rPr>
              <w:t>20 articles collected today: 2 positive, 5 negative, 13 neutral (mixed). Event tags: dividend, earnings, merger or acquisition, upgrade, profit warning.</w:t>
            </w:r>
          </w:p>
          <w:p>
            <w:pPr>
              <w:spacing w:after="10" w:line="240" w:lineRule="auto"/>
            </w:pPr>
            <w:r>
              <w:rPr>
                <w:b/>
                <w:i w:val="0"/>
                <w:color w:val="1A2E55"/>
                <w:sz w:val="16"/>
              </w:rPr>
              <w:t xml:space="preserve">Headlines  </w:t>
            </w:r>
            <w:r>
              <w:rPr>
                <w:b w:val="0"/>
                <w:i w:val="0"/>
                <w:sz w:val="16"/>
              </w:rPr>
              <w:t>+ “Is Wilmar’s Higher Interim Dividend Signaling a Shift in Capital Allocation Priorities for S…” (simplywall.st, 16 Aug)</w:t>
            </w:r>
          </w:p>
          <w:p>
            <w:pPr>
              <w:spacing w:after="10" w:line="240" w:lineRule="auto"/>
            </w:pPr>
            <w:r>
              <w:rPr>
                <w:b/>
                <w:i w:val="0"/>
                <w:color w:val="1A2E55"/>
                <w:sz w:val="16"/>
              </w:rPr>
              <w:t xml:space="preserve">Price chart  </w:t>
            </w:r>
            <w:r>
              <w:rPr>
                <w:b w:val="0"/>
                <w:i w:val="0"/>
                <w:sz w:val="16"/>
              </w:rPr>
              <w:t>RSI 43,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Neutral today (score +0.18; positive above +0.35, negative below −0.35), and on 3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Down: warning/downgrade headlines −0.06. Market-wide: political news +0.01 (unreliable, section 5).</w:t>
            </w:r>
          </w:p>
          <w:p>
            <w:pPr>
              <w:spacing w:after="10" w:line="240" w:lineRule="auto"/>
            </w:pPr>
            <w:r>
              <w:rPr>
                <w:b/>
                <w:i w:val="0"/>
                <w:color w:val="1A2E55"/>
                <w:sz w:val="16"/>
              </w:rPr>
              <w:t xml:space="preserve">AI summary of the evidence (checked)  </w:t>
            </w:r>
            <w:r>
              <w:rPr>
                <w:b w:val="0"/>
                <w:i w:val="0"/>
                <w:sz w:val="16"/>
              </w:rPr>
              <w:t>Wilmar International’s outlook remains neutral, with rule‑based analysis balancing positive geopolitical backdrop and corporate events against decisive negative political news volume. ML-model from both LogReg and RandomForest models reinforce this equilibrium, highlighting RSI momentum as a positive driver while political news tone and volume dampen upside. Recent headlines – such as the dip in share price amid palm oil futures slide and the 25% loss over five years – underscore the negative undercurrents, though the company’s upcoming earnings report may provide clarity. The macro environment, marked by war‑related recession fears and airport disruptions, adds further caution. Overall, the consensus leans neutral, with contradictions noted between the rule‑based neutral stance and the negative ML predictions.</w:t>
            </w:r>
          </w:p>
          <w:p>
            <w:pPr>
              <w:spacing w:after="10" w:line="240" w:lineRule="auto"/>
            </w:pPr>
            <w:r>
              <w:rPr>
                <w:b/>
                <w:i w:val="0"/>
                <w:color w:val="1A2E55"/>
                <w:sz w:val="16"/>
              </w:rPr>
              <w:t xml:space="preserve">Forecast lean  </w:t>
            </w:r>
            <w:r>
              <w:rPr>
                <w:b w:val="0"/>
                <w:i w:val="0"/>
                <w:sz w:val="16"/>
              </w:rPr>
              <w:t>Rise over the next 3 trading days (chance 91%); its normal 3-day swing is ±2.0%. Past record on this stock: ✓, but rise-or-fall calls marked ✓ were right only 26%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Ascendas REIT</w:t>
            </w:r>
            <w:r>
              <w:rPr>
                <w:b w:val="0"/>
                <w:i w:val="0"/>
                <w:color w:val="52514E"/>
                <w:sz w:val="17"/>
              </w:rPr>
              <w:t xml:space="preserve">   REIT  ·  -1.7% over 07–11 Sep</w:t>
            </w:r>
          </w:p>
          <w:p>
            <w:pPr>
              <w:spacing w:after="10" w:line="240" w:lineRule="auto"/>
            </w:pPr>
            <w:r>
              <w:rPr>
                <w:b/>
                <w:i w:val="0"/>
                <w:color w:val="1A2E55"/>
                <w:sz w:val="16"/>
              </w:rPr>
              <w:t xml:space="preserve">In short (AI-written, checked)  </w:t>
            </w:r>
            <w:r>
              <w:rPr>
                <w:b w:val="0"/>
                <w:i w:val="0"/>
                <w:sz w:val="16"/>
              </w:rPr>
              <w:t>Ascendas REIT fell 1.7% over 07–11 Sep. The news today is mixed and does not clearly explain the move. The forecast model suggests a rise, but its record is only a weak signal.</w:t>
            </w:r>
          </w:p>
          <w:p>
            <w:pPr>
              <w:spacing w:after="10" w:line="240" w:lineRule="auto"/>
            </w:pPr>
            <w:r>
              <w:rPr>
                <w:b/>
                <w:i w:val="0"/>
                <w:color w:val="1A2E55"/>
                <w:sz w:val="16"/>
              </w:rPr>
              <w:t xml:space="preserve">What happened  </w:t>
            </w:r>
            <w:r>
              <w:rPr>
                <w:b w:val="0"/>
                <w:i w:val="0"/>
                <w:sz w:val="16"/>
              </w:rPr>
              <w:t>Fell 1.7% over 07–11 Sep; its biggest day was Wed 09 Sep (-0.8%). Today +0.0%.</w:t>
            </w:r>
          </w:p>
          <w:p>
            <w:pPr>
              <w:spacing w:after="10" w:line="240" w:lineRule="auto"/>
            </w:pPr>
            <w:r>
              <w:rPr>
                <w:b/>
                <w:i w:val="0"/>
                <w:color w:val="1A2E55"/>
                <w:sz w:val="16"/>
              </w:rPr>
              <w:t xml:space="preserve">Today: news vs price  </w:t>
            </w:r>
            <w:r>
              <w:rPr>
                <w:b w:val="0"/>
                <w:i w:val="0"/>
                <w:sz w:val="16"/>
              </w:rPr>
              <w:t>No news signal today (neutral reading); the price was unchanged.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1.7% over 07–11 Sep, its 3 sector peers -2.0% on average, and the 15 stocks -1.8% on average. So there is no company story in the news, and the move looks sector-wide.</w:t>
            </w:r>
          </w:p>
          <w:p>
            <w:pPr>
              <w:spacing w:after="10" w:line="240" w:lineRule="auto"/>
            </w:pPr>
            <w:r>
              <w:rPr>
                <w:b/>
                <w:i w:val="0"/>
                <w:color w:val="1A2E55"/>
                <w:sz w:val="16"/>
              </w:rPr>
              <w:t xml:space="preserve">News today  </w:t>
            </w:r>
            <w:r>
              <w:rPr>
                <w:b w:val="0"/>
                <w:i w:val="0"/>
                <w:sz w:val="16"/>
              </w:rPr>
              <w:t>19 articles collected today: 6 positive, 4 negative, 9 neutral (mixed). Event tags: dividend, earnings, merger or acquisition.</w:t>
            </w:r>
          </w:p>
          <w:p>
            <w:pPr>
              <w:spacing w:after="10" w:line="240" w:lineRule="auto"/>
            </w:pPr>
            <w:r>
              <w:rPr>
                <w:b/>
                <w:i w:val="0"/>
                <w:color w:val="1A2E55"/>
                <w:sz w:val="16"/>
              </w:rPr>
              <w:t xml:space="preserve">Price chart  </w:t>
            </w:r>
            <w:r>
              <w:rPr>
                <w:b w:val="0"/>
                <w:i w:val="0"/>
                <w:sz w:val="16"/>
              </w:rPr>
              <w:t>RSI 30, between 30 and 70: no unusually fast move; weekly trend down.</w:t>
            </w:r>
          </w:p>
          <w:p>
            <w:pPr>
              <w:spacing w:after="10" w:line="240" w:lineRule="auto"/>
            </w:pPr>
            <w:r>
              <w:rPr>
                <w:b/>
                <w:i w:val="0"/>
                <w:color w:val="1A2E55"/>
                <w:sz w:val="16"/>
              </w:rPr>
              <w:t xml:space="preserve">News &amp; signals reading  </w:t>
            </w:r>
            <w:r>
              <w:rPr>
                <w:b w:val="0"/>
                <w:i w:val="0"/>
                <w:sz w:val="16"/>
              </w:rPr>
              <w:t>Neutral today (score +0.07; positive above +0.35, negative below −0.35), and on 2 of the 3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Down: weekly trend down −0.15. Market-wide: political news +0.01 (unreliable, section 5).</w:t>
            </w:r>
          </w:p>
          <w:p>
            <w:pPr>
              <w:spacing w:after="10" w:line="240" w:lineRule="auto"/>
            </w:pPr>
            <w:r>
              <w:rPr>
                <w:b/>
                <w:i w:val="0"/>
                <w:color w:val="1A2E55"/>
                <w:sz w:val="16"/>
              </w:rPr>
              <w:t xml:space="preserve">AI summary of the evidence (checked)  </w:t>
            </w:r>
            <w:r>
              <w:rPr>
                <w:b w:val="0"/>
                <w:i w:val="0"/>
                <w:sz w:val="16"/>
              </w:rPr>
              <w:t>The neutral outlook is driven by a mix of positive and negative signals. On the positive side, a positive geopolitical backdrop (weight 0.25) and recent corporate expansion into three Singapore industrial assets (weight 0.204) support a stable stance, while RSI momentum (+0.181) and higher news coverage volume (+0.134) reinforce this view. Conversely, elevated political news volume (weight 0.242) and a negative weekly timeframe (weight 0.146) temper enthusiasm, and the ML-model‑derived weekly trend confirmation (-0.088) introduces a subtle downside bias. Despite these mixed signals, the consensus across both models remains neutral, and the overall confidence is moderate at 0.58. The outlook acknowledges the risk of a global recession hinted by the "Prolonged war in Iran could tip the global economy into recession" headline, but the local property market resilience and recent acquisitions mitigate immediate concern.</w:t>
            </w:r>
          </w:p>
          <w:p>
            <w:pPr>
              <w:spacing w:after="10" w:line="240" w:lineRule="auto"/>
            </w:pPr>
            <w:r>
              <w:rPr>
                <w:b/>
                <w:i w:val="0"/>
                <w:color w:val="1A2E55"/>
                <w:sz w:val="16"/>
              </w:rPr>
              <w:t xml:space="preserve">Forecast lean  </w:t>
            </w:r>
            <w:r>
              <w:rPr>
                <w:b w:val="0"/>
                <w:i w:val="0"/>
                <w:sz w:val="16"/>
              </w:rPr>
              <w:t>Rise over the next 3 trading days (chance 98%); its normal 3-day swing is ±1.2%. Past record on this stock: ✓, but rise-or-fall calls marked ✓ were right only 26%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-2.6% over 07–11 Sep</w:t>
            </w:r>
          </w:p>
          <w:p>
            <w:pPr>
              <w:spacing w:after="10" w:line="240" w:lineRule="auto"/>
            </w:pPr>
            <w:r>
              <w:rPr>
                <w:b/>
                <w:i w:val="0"/>
                <w:color w:val="1A2E55"/>
                <w:sz w:val="16"/>
              </w:rPr>
              <w:t xml:space="preserve">In short (AI-written, checked)  </w:t>
            </w:r>
            <w:r>
              <w:rPr>
                <w:b w:val="0"/>
                <w:i w:val="0"/>
                <w:sz w:val="16"/>
              </w:rPr>
              <w:t>CapitaLand Integrated Commercial Trust fell 2.6% over 07–11 Sep. The news today is mostly positive but does not yet appear in the price, and the company news and price disagree. The forecast model suggests a rise, but its record is only a weak signal.</w:t>
            </w:r>
          </w:p>
          <w:p>
            <w:pPr>
              <w:spacing w:after="10" w:line="240" w:lineRule="auto"/>
            </w:pPr>
            <w:r>
              <w:rPr>
                <w:b/>
                <w:i w:val="0"/>
                <w:color w:val="1A2E55"/>
                <w:sz w:val="16"/>
              </w:rPr>
              <w:t xml:space="preserve">What happened  </w:t>
            </w:r>
            <w:r>
              <w:rPr>
                <w:b w:val="0"/>
                <w:i w:val="0"/>
                <w:sz w:val="16"/>
              </w:rPr>
              <w:t>Fell 2.6% over 07–11 Sep, most of it on Thu 10 Sep (-1.7%). Today +0.0%.</w:t>
            </w:r>
          </w:p>
          <w:p>
            <w:pPr>
              <w:spacing w:after="10" w:line="240" w:lineRule="auto"/>
            </w:pPr>
            <w:r>
              <w:rPr>
                <w:b/>
                <w:i w:val="0"/>
                <w:color w:val="1A2E55"/>
                <w:sz w:val="16"/>
              </w:rPr>
              <w:t xml:space="preserve">Today: news vs price  </w:t>
            </w:r>
            <w:r>
              <w:rPr>
                <w:b w:val="0"/>
                <w:i w:val="0"/>
                <w:sz w:val="16"/>
              </w:rPr>
              <w:t>Positive reading, but the price was unchanged,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fell 2.6% over 07–11 Sep, its 3 sector peers -1.7% on average, and the 15 stocks -1.8% on average. So the company news and the price disagree; the move looks sector-wide.</w:t>
            </w:r>
          </w:p>
          <w:p>
            <w:pPr>
              <w:spacing w:after="10" w:line="240" w:lineRule="auto"/>
            </w:pPr>
            <w:r>
              <w:rPr>
                <w:b/>
                <w:i w:val="0"/>
                <w:color w:val="1A2E55"/>
                <w:sz w:val="16"/>
              </w:rPr>
              <w:t xml:space="preserve">News today  </w:t>
            </w:r>
            <w:r>
              <w:rPr>
                <w:b w:val="0"/>
                <w:i w:val="0"/>
                <w:sz w:val="16"/>
              </w:rPr>
              <w:t>28 articles collected today: 13 positive, 5 negative, 10 neutral (mostly positive). Event tags: dividend, earnings, merger or acquisition.</w:t>
            </w:r>
          </w:p>
          <w:p>
            <w:pPr>
              <w:spacing w:after="10" w:line="240" w:lineRule="auto"/>
            </w:pPr>
            <w:r>
              <w:rPr>
                <w:b/>
                <w:i w:val="0"/>
                <w:color w:val="1A2E55"/>
                <w:sz w:val="16"/>
              </w:rPr>
              <w:t xml:space="preserve">Headlines  </w:t>
            </w:r>
            <w:r>
              <w:rPr>
                <w:b w:val="0"/>
                <w:i w:val="0"/>
                <w:sz w:val="16"/>
              </w:rPr>
              <w:t>+ “CapitaLand Integrated Commercial Trust leads institutional inflows as fund flows reverse course” (reitsweek, 09 Sep)</w:t>
            </w:r>
          </w:p>
          <w:p>
            <w:pPr>
              <w:spacing w:after="10" w:line="240" w:lineRule="auto"/>
            </w:pPr>
            <w:r>
              <w:rPr>
                <w:b/>
                <w:i w:val="0"/>
                <w:color w:val="1A2E55"/>
                <w:sz w:val="16"/>
              </w:rPr>
              <w:t xml:space="preserve">Price chart  </w:t>
            </w:r>
            <w:r>
              <w:rPr>
                <w:b w:val="0"/>
                <w:i w:val="0"/>
                <w:sz w:val="16"/>
              </w:rPr>
              <w:t>RSI 29, below 30: the price fell fast ('oversold'); price below its usual range (Bollinger band).</w:t>
            </w:r>
          </w:p>
          <w:p>
            <w:pPr>
              <w:spacing w:after="10" w:line="240" w:lineRule="auto"/>
            </w:pPr>
            <w:r>
              <w:rPr>
                <w:b/>
                <w:i w:val="0"/>
                <w:color w:val="1A2E55"/>
                <w:sz w:val="16"/>
              </w:rPr>
              <w:t xml:space="preserve">News &amp; signals reading  </w:t>
            </w:r>
            <w:r>
              <w:rPr>
                <w:b w:val="0"/>
                <w:i w:val="0"/>
                <w:sz w:val="16"/>
              </w:rPr>
              <w:t>Positive today (score +0.73; positive above +0.35, negative below −0.35), and on all 3 earlier recorded days. No single rule decides it.</w:t>
            </w:r>
          </w:p>
          <w:p>
            <w:pPr>
              <w:spacing w:after="10" w:line="240" w:lineRule="auto"/>
            </w:pPr>
            <w:r>
              <w:rPr>
                <w:b/>
                <w:i w:val="0"/>
                <w:color w:val="1A2E55"/>
                <w:sz w:val="16"/>
              </w:rPr>
              <w:t xml:space="preserve">Rules behind the reading  </w:t>
            </w:r>
            <w:r>
              <w:rPr>
                <w:b w:val="0"/>
                <w:i w:val="0"/>
                <w:sz w:val="16"/>
              </w:rPr>
              <w:t>Up: RSI oversold +0.38, earnings/dividend headlines +0.20, positive company news +0.18. Down: below usual range −0.04. Market-wide: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remains positive on the back of strong technical signals such as RSI oversold and price above VWAP, reinforced by recent positive corporate actions like the $600m private placement and a $160m upgrade of Plaza Singapura. Positive company news sentiment and a favorable geopolitical backdrop further support the outlook, while the LogReg and RandomForest models both highlight momentum from RSI and news share. However, the company faces contradictions: elevated political news volume and a negative political tone, along with price below the Bollinger lower band, introduce negative nuances. Despite these risks, the consensus positive stance is maintained, with the debt issuance viewed as a manageable risk in the current neutral macro environment.</w:t>
            </w:r>
          </w:p>
          <w:p>
            <w:pPr>
              <w:spacing w:after="10" w:line="240" w:lineRule="auto"/>
            </w:pPr>
            <w:r>
              <w:rPr>
                <w:b/>
                <w:i w:val="0"/>
                <w:color w:val="1A2E55"/>
                <w:sz w:val="16"/>
              </w:rPr>
              <w:t xml:space="preserve">Forecast lean  </w:t>
            </w:r>
            <w:r>
              <w:rPr>
                <w:b w:val="0"/>
                <w:i w:val="0"/>
                <w:sz w:val="16"/>
              </w:rPr>
              <w:t>Rise over the next 3 trading days (chance 99%); its normal 3-day swing is ±1.2%. Past record on this stock: ✓, but rise-or-fall calls marked ✓ were right only 26%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97%</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98%</w:t>
            </w:r>
          </w:p>
        </w:tc>
        <w:tc>
          <w:tcPr>
            <w:tcW w:type="dxa" w:w="2016"/>
            <w:shd w:val="clear" w:color="auto" w:fill="E4F3E4"/>
          </w:tcPr>
          <w:p>
            <w:pPr>
              <w:keepNext/>
            </w:pPr>
            <w:r>
              <w:rPr>
                <w:b/>
                <w:i w:val="0"/>
                <w:color w:val="0A6E0A"/>
                <w:sz w:val="16"/>
              </w:rPr>
              <w:t>+14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UOB</w:t>
            </w:r>
          </w:p>
        </w:tc>
        <w:tc>
          <w:tcPr>
            <w:tcW w:type="dxa" w:w="1368"/>
          </w:tcPr>
          <w:p>
            <w:pPr>
              <w:keepNext/>
              <w:jc w:val="right"/>
            </w:pPr>
            <w:r>
              <w:rPr>
                <w:b w:val="0"/>
                <w:i w:val="0"/>
                <w:sz w:val="16"/>
              </w:rPr>
              <w:t>±1.4%</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−43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41%</w:t>
            </w:r>
          </w:p>
        </w:tc>
        <w:tc>
          <w:tcPr>
            <w:tcW w:type="dxa" w:w="2016"/>
            <w:shd w:val="clear" w:color="auto" w:fill="FBE1E0"/>
          </w:tcPr>
          <w:p>
            <w:pPr>
              <w:keepNext/>
            </w:pPr>
            <w:r>
              <w:rPr>
                <w:b/>
                <w:i w:val="0"/>
                <w:color w:val="A12D2C"/>
                <w:sz w:val="16"/>
              </w:rPr>
              <w:t>−43 pts ✗</w:t>
            </w:r>
          </w:p>
        </w:tc>
      </w:tr>
      <w:tr>
        <w:tc>
          <w:tcPr>
            <w:tcW w:type="dxa" w:w="2664"/>
          </w:tcPr>
          <w:p>
            <w:pPr>
              <w:keepNext/>
            </w:pPr>
            <w:r>
              <w:rPr>
                <w:b w:val="0"/>
                <w:i w:val="0"/>
                <w:sz w:val="16"/>
              </w:rPr>
              <w:t>ComfortDelGro</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85%</w:t>
            </w:r>
          </w:p>
        </w:tc>
        <w:tc>
          <w:tcPr>
            <w:tcW w:type="dxa" w:w="2016"/>
            <w:shd w:val="clear" w:color="auto" w:fill="FBE1E0"/>
          </w:tcPr>
          <w:p>
            <w:pPr>
              <w:keepNext/>
            </w:pPr>
            <w:r>
              <w:rPr>
                <w:b/>
                <w:i w:val="0"/>
                <w:color w:val="A12D2C"/>
                <w:sz w:val="16"/>
              </w:rPr>
              <w:t>−29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88%</w:t>
            </w:r>
          </w:p>
        </w:tc>
        <w:tc>
          <w:tcPr>
            <w:tcW w:type="dxa" w:w="2016"/>
            <w:shd w:val="clear" w:color="auto" w:fill="FBE1E0"/>
          </w:tcPr>
          <w:p>
            <w:pPr>
              <w:keepNext/>
            </w:pPr>
            <w:r>
              <w:rPr>
                <w:b/>
                <w:i w:val="0"/>
                <w:color w:val="A12D2C"/>
                <w:sz w:val="16"/>
              </w:rPr>
              <w:t>−7 pts ✗</w:t>
            </w:r>
          </w:p>
        </w:tc>
      </w:tr>
      <w:tr>
        <w:tc>
          <w:tcPr>
            <w:tcW w:type="dxa" w:w="2664"/>
          </w:tcPr>
          <w:p>
            <w:pPr>
              <w:keepNext/>
            </w:pPr>
            <w:r>
              <w:rPr>
                <w:b w:val="0"/>
                <w:i w:val="0"/>
                <w:sz w:val="16"/>
              </w:rPr>
              <w:t>DBS Group</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75%</w:t>
            </w:r>
          </w:p>
        </w:tc>
        <w:tc>
          <w:tcPr>
            <w:tcW w:type="dxa" w:w="2016"/>
            <w:shd w:val="clear" w:color="auto" w:fill="FBE1E0"/>
          </w:tcPr>
          <w:p>
            <w:pPr>
              <w:keepNext/>
            </w:pPr>
            <w:r>
              <w:rPr>
                <w:b/>
                <w:i w:val="0"/>
                <w:color w:val="A12D2C"/>
                <w:sz w:val="16"/>
              </w:rPr>
              <w:t>−7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+21 pts ✓</w:t>
            </w:r>
          </w:p>
        </w:tc>
      </w:tr>
      <w:tr>
        <w:tc>
          <w:tcPr>
            <w:tcW w:type="dxa" w:w="2664"/>
          </w:tcPr>
          <w:p>
            <w:pPr>
              <w:keepNext/>
            </w:pPr>
            <w:r>
              <w:rPr>
                <w:b w:val="0"/>
                <w:i w:val="0"/>
                <w:sz w:val="16"/>
              </w:rPr>
              <w:t>SGX Group</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94%</w:t>
            </w:r>
          </w:p>
        </w:tc>
        <w:tc>
          <w:tcPr>
            <w:tcW w:type="dxa" w:w="2016"/>
            <w:shd w:val="clear" w:color="auto" w:fill="FBE1E0"/>
          </w:tcPr>
          <w:p>
            <w:pPr>
              <w:keepNext/>
            </w:pPr>
            <w:r>
              <w:rPr>
                <w:b/>
                <w:i w:val="0"/>
                <w:color w:val="A12D2C"/>
                <w:sz w:val="16"/>
              </w:rPr>
              <w:t>−21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99%</w:t>
            </w:r>
          </w:p>
        </w:tc>
        <w:tc>
          <w:tcPr>
            <w:tcW w:type="dxa" w:w="2016"/>
            <w:shd w:val="clear" w:color="auto" w:fill="FBE1E0"/>
          </w:tcPr>
          <w:p>
            <w:pPr>
              <w:keepNext/>
            </w:pPr>
            <w:r>
              <w:rPr>
                <w:b/>
                <w:i w:val="0"/>
                <w:color w:val="A12D2C"/>
                <w:sz w:val="16"/>
              </w:rPr>
              <w:t>−21 pts ✗</w:t>
            </w:r>
          </w:p>
        </w:tc>
      </w:tr>
      <w:tr>
        <w:tc>
          <w:tcPr>
            <w:tcW w:type="dxa" w:w="2664"/>
          </w:tcPr>
          <w:p>
            <w:pPr>
              <w:keepNext/>
            </w:pPr>
            <w:r>
              <w:rPr>
                <w:b w:val="0"/>
                <w:i w:val="0"/>
                <w:sz w:val="16"/>
              </w:rPr>
              <w:t>Wilmar Intl</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91%</w:t>
            </w:r>
          </w:p>
        </w:tc>
        <w:tc>
          <w:tcPr>
            <w:tcW w:type="dxa" w:w="2016"/>
            <w:shd w:val="clear" w:color="auto" w:fill="E4F3E4"/>
          </w:tcPr>
          <w:p>
            <w:pPr>
              <w:keepNext/>
            </w:pPr>
            <w:r>
              <w:rPr>
                <w:b/>
                <w:i w:val="0"/>
                <w:color w:val="0A6E0A"/>
                <w:sz w:val="16"/>
              </w:rPr>
              <w:t>+29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±2.2%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93%</w:t>
            </w:r>
          </w:p>
        </w:tc>
        <w:tc>
          <w:tcPr>
            <w:tcW w:type="dxa" w:w="2016"/>
            <w:shd w:val="clear" w:color="auto" w:fill="FBE1E0"/>
          </w:tcPr>
          <w:p>
            <w:pPr>
              <w:keepNext/>
            </w:pPr>
            <w:r>
              <w:rPr>
                <w:b/>
                <w:i w:val="0"/>
                <w:color w:val="A12D2C"/>
                <w:sz w:val="16"/>
              </w:rPr>
              <w:t>−7 pts ✗</w:t>
            </w:r>
          </w:p>
        </w:tc>
      </w:tr>
      <w:tr>
        <w:tc>
          <w:tcPr>
            <w:tcW w:type="dxa" w:w="2664"/>
          </w:tcPr>
          <w:p>
            <w:r>
              <w:rPr>
                <w:b w:val="0"/>
                <w:i w:val="0"/>
                <w:sz w:val="16"/>
              </w:rPr>
              <w:t>Sembcorp Industries</w:t>
            </w:r>
          </w:p>
        </w:tc>
        <w:tc>
          <w:tcPr>
            <w:tcW w:type="dxa" w:w="1368"/>
          </w:tcPr>
          <w:p>
            <w:pPr>
              <w:jc w:val="right"/>
            </w:pPr>
            <w:r>
              <w:rPr>
                <w:b w:val="0"/>
                <w:i w:val="0"/>
                <w:sz w:val="16"/>
              </w:rPr>
              <w:t>±2.2%</w:t>
            </w:r>
          </w:p>
        </w:tc>
        <w:tc>
          <w:tcPr>
            <w:tcW w:type="dxa" w:w="1440"/>
            <w:shd w:val="clear" w:color="auto" w:fill="DCEAFB"/>
          </w:tcPr>
          <w:p>
            <w:r>
              <w:rPr>
                <w:b/>
                <w:i w:val="0"/>
                <w:color w:val="1C5CAB"/>
                <w:sz w:val="16"/>
              </w:rPr>
              <w:t>✓ calmer</w:t>
            </w:r>
          </w:p>
        </w:tc>
        <w:tc>
          <w:tcPr>
            <w:tcW w:type="dxa" w:w="1440"/>
          </w:tcPr>
          <w:p>
            <w:r>
              <w:rPr>
                <w:b w:val="0"/>
                <w:i w:val="0"/>
                <w:color w:val="52514E"/>
                <w:sz w:val="16"/>
              </w:rPr>
              <w:t>No big move</w:t>
            </w:r>
          </w:p>
        </w:tc>
        <w:tc>
          <w:tcPr>
            <w:tcW w:type="dxa" w:w="1008"/>
          </w:tcPr>
          <w:p>
            <w:pPr>
              <w:jc w:val="right"/>
            </w:pPr>
            <w:r>
              <w:rPr>
                <w:b w:val="0"/>
                <w:i w:val="0"/>
                <w:sz w:val="16"/>
              </w:rPr>
              <w:t>94%</w:t>
            </w:r>
          </w:p>
        </w:tc>
        <w:tc>
          <w:tcPr>
            <w:tcW w:type="dxa" w:w="2016"/>
            <w:shd w:val="clear" w:color="auto" w:fill="E4F3E4"/>
          </w:tcPr>
          <w:p>
            <w:r>
              <w:rPr>
                <w:b/>
                <w:i w:val="0"/>
                <w:color w:val="0A6E0A"/>
                <w:sz w:val="16"/>
              </w:rPr>
              <w:t>+7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ST Engineering, Raffles Medical Group, SGX Group and Sembcorp Industries: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41% of 210 past calls, against 55% for always guessing 'no big move'. Calls marked ✓ were right 48%, the rest 33%, but the gain is in 'no big move' calls (59% right); ✓ rise-or-fall calls were right only 26% of 39, so a ✓ never makes a direction likely. Before its probabilities were refitted, chances of 90% or more were right only 38%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543 company news articles (each read as positive, negative or neutral by FinBERT, a finance language model) and 72 political articles; price-chart indicators (RSI, MACD, Bollinger bands, VWAP, weekly trend); the market backdrop (VIX 17.1, US yield spread); Singapore ETF options positioning (put/call 0.77).</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(6)</w:t>
            </w:r>
          </w:p>
        </w:tc>
        <w:tc>
          <w:tcPr>
            <w:tcW w:type="dxa" w:w="3312"/>
          </w:tcPr>
          <w:p>
            <w:r>
              <w:rPr>
                <w:b w:val="0"/>
                <w:i w:val="0"/>
                <w:sz w:val="15"/>
              </w:rPr>
              <w:t>UOB, Mapletree Industrial, Singtel, Keppel Corp, Sembcorp Industries,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Model-only view (4)</w:t>
            </w:r>
          </w:p>
        </w:tc>
        <w:tc>
          <w:tcPr>
            <w:tcW w:type="dxa" w:w="3312"/>
            <w:shd w:val="clear" w:color="auto" w:fill="F7F7F5"/>
          </w:tcPr>
          <w:p>
            <w:r>
              <w:rPr>
                <w:b w:val="0"/>
                <w:i w:val="0"/>
                <w:sz w:val="15"/>
              </w:rPr>
              <w:t>Mapletree Pan Asia Comm. Trust, Ascendas REIT, Wilmar Intl, ComfortDelGro</w:t>
            </w:r>
          </w:p>
        </w:tc>
        <w:tc>
          <w:tcPr>
            <w:tcW w:type="dxa" w:w="4824"/>
            <w:shd w:val="clear" w:color="auto" w:fill="F7F7F5"/>
          </w:tcPr>
          <w:p>
            <w:r>
              <w:rPr>
                <w:b w:val="0"/>
                <w:i w:val="0"/>
                <w:sz w:val="15"/>
              </w:rPr>
              <w:t>signals flat, but the model has a view</w:t>
            </w:r>
          </w:p>
        </w:tc>
      </w:tr>
      <w:tr>
        <w:tc>
          <w:tcPr>
            <w:tcW w:type="dxa" w:w="1800"/>
          </w:tcPr>
          <w:p>
            <w:r>
              <w:rPr>
                <w:b/>
                <w:i w:val="0"/>
                <w:sz w:val="15"/>
              </w:rPr>
              <w:t>Dormant (2)</w:t>
            </w:r>
          </w:p>
        </w:tc>
        <w:tc>
          <w:tcPr>
            <w:tcW w:type="dxa" w:w="3312"/>
          </w:tcPr>
          <w:p>
            <w:r>
              <w:rPr>
                <w:b w:val="0"/>
                <w:i w:val="0"/>
                <w:sz w:val="15"/>
              </w:rPr>
              <w:t>DBS Group, ST Engineering</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Momentum (1)</w:t>
            </w:r>
          </w:p>
        </w:tc>
        <w:tc>
          <w:tcPr>
            <w:tcW w:type="dxa" w:w="3312"/>
            <w:shd w:val="clear" w:color="auto" w:fill="F7F7F5"/>
          </w:tcPr>
          <w:p>
            <w:r>
              <w:rPr>
                <w:b w:val="0"/>
                <w:i w:val="0"/>
                <w:sz w:val="15"/>
              </w:rPr>
              <w:t>OCBC Bank</w:t>
            </w:r>
          </w:p>
        </w:tc>
        <w:tc>
          <w:tcPr>
            <w:tcW w:type="dxa" w:w="4824"/>
            <w:shd w:val="clear" w:color="auto" w:fill="F7F7F5"/>
          </w:tcPr>
          <w:p>
            <w:r>
              <w:rPr>
                <w:b w:val="0"/>
                <w:i w:val="0"/>
                <w:sz w:val="15"/>
              </w:rPr>
              <w:t>news and price agreed; the model expects the move to continue</w:t>
            </w:r>
          </w:p>
        </w:tc>
      </w:tr>
      <w:tr>
        <w:tc>
          <w:tcPr>
            <w:tcW w:type="dxa" w:w="1800"/>
          </w:tcPr>
          <w:p>
            <w:r>
              <w:rPr>
                <w:b/>
                <w:i w:val="0"/>
                <w:sz w:val="15"/>
              </w:rPr>
              <w:t>Muted, pending (1)</w:t>
            </w:r>
          </w:p>
        </w:tc>
        <w:tc>
          <w:tcPr>
            <w:tcW w:type="dxa" w:w="3312"/>
          </w:tcPr>
          <w:p>
            <w:r>
              <w:rPr>
                <w:b w:val="0"/>
                <w:i w:val="0"/>
                <w:sz w:val="15"/>
              </w:rPr>
              <w:t>CapitaLand Integ. Comm. Trust</w:t>
            </w:r>
          </w:p>
        </w:tc>
        <w:tc>
          <w:tcPr>
            <w:tcW w:type="dxa" w:w="4824"/>
          </w:tcPr>
          <w:p>
            <w:r>
              <w:rPr>
                <w:b w:val="0"/>
                <w:i w:val="0"/>
                <w:sz w:val="15"/>
              </w:rPr>
              <w:t>signals leaned one way, price barely moved; the model still expects that direction</w:t>
            </w:r>
          </w:p>
        </w:tc>
      </w:tr>
      <w:tr>
        <w:tc>
          <w:tcPr>
            <w:tcW w:type="dxa" w:w="1800"/>
            <w:shd w:val="clear" w:color="auto" w:fill="F7F7F5"/>
          </w:tcPr>
          <w:p>
            <w:r>
              <w:rPr>
                <w:b/>
                <w:i w:val="0"/>
                <w:sz w:val="15"/>
              </w:rPr>
              <w:t>Noise (1)</w:t>
            </w:r>
          </w:p>
        </w:tc>
        <w:tc>
          <w:tcPr>
            <w:tcW w:type="dxa" w:w="3312"/>
            <w:shd w:val="clear" w:color="auto" w:fill="F7F7F5"/>
          </w:tcPr>
          <w:p>
            <w:r>
              <w:rPr>
                <w:b w:val="0"/>
                <w:i w:val="0"/>
                <w:sz w:val="15"/>
              </w:rPr>
              <w:t>SGX Group</w:t>
            </w:r>
          </w:p>
        </w:tc>
        <w:tc>
          <w:tcPr>
            <w:tcW w:type="dxa" w:w="4824"/>
            <w:shd w:val="clear" w:color="auto" w:fill="F7F7F5"/>
          </w:tcPr>
          <w:p>
            <w:r>
              <w:rPr>
                <w:b w:val="0"/>
                <w:i w:val="0"/>
                <w:sz w:val="15"/>
              </w:rPr>
              <w:t>price went against the signals; the model has no clear view</w:t>
            </w:r>
          </w:p>
        </w:tc>
      </w:tr>
    </w:tbl>
    <w:p>
      <w:pPr>
        <w:spacing w:after="40"/>
      </w:pPr>
      <w:r>
        <w:rPr>
          <w:b w:val="0"/>
          <w:i w:val="0"/>
          <w:color w:val="52514E"/>
          <w:sz w:val="15"/>
        </w:rPr>
        <w:t>The other patterns in the 11-pattern engine did not occur today; the full set is defined in the final report, Appendix C. The contradiction check rated 1 of 15 readings strongly mixed (named on the cards) and 11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41% of 210 vs 55%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38% of the time (78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48%, others 33%; the gain is in 'no big move' calls (59%). ✓ rise-or-fall calls: 26% of 39.</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11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