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Tuesday 15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09–15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-0.9% on average (1 up, 12 down); over 09–15 Sep they moved -2.6%. Weakest: Financial Services (-9.5%), Industrials (-3.7%) and REIT (-2.1%); held up best: Healthcare (-1.2%) and Consumer Goods (-1.2%).</w:t>
      </w:r>
    </w:p>
    <w:p>
      <w:pPr>
        <w:pStyle w:val="ListBullet"/>
        <w:spacing w:after="40"/>
      </w:pPr>
      <w:r>
        <w:rPr>
          <w:b/>
          <w:i w:val="0"/>
          <w:color w:val="1A2E55"/>
          <w:sz w:val="19"/>
        </w:rPr>
        <w:t xml:space="preserve">Why. </w:t>
      </w:r>
      <w:r>
        <w:rPr>
          <w:b w:val="0"/>
          <w:i w:val="0"/>
          <w:sz w:val="19"/>
        </w:rPr>
        <w:t>Biggest movers over 09–15 Sep: SGX Group (-9.5%), Keppel Corp (-5.7%) and Sembcorp Industries (-3.4%). Sembcorp Industries moved without a company news story; the move looks sector-wide. For SGX Group and Keppel Corp, the company news and the price disagree. See section 2.</w:t>
      </w:r>
    </w:p>
    <w:p>
      <w:pPr>
        <w:pStyle w:val="ListBullet"/>
        <w:spacing w:after="40"/>
      </w:pPr>
      <w:r>
        <w:rPr>
          <w:b/>
          <w:i w:val="0"/>
          <w:color w:val="1A2E55"/>
          <w:sz w:val="19"/>
        </w:rPr>
        <w:t xml:space="preserve">Backdrop. </w:t>
      </w:r>
      <w:r>
        <w:rPr>
          <w:b w:val="0"/>
          <w:i w:val="0"/>
          <w:sz w:val="19"/>
        </w:rPr>
        <w:t>The market backdrop is normal (VIX 17.1), but Singapore ETF options lean defensive (put/call 2.54): more traders are buying protection against a fall.</w:t>
      </w:r>
    </w:p>
    <w:p>
      <w:pPr>
        <w:pStyle w:val="ListBullet"/>
        <w:spacing w:after="40"/>
      </w:pPr>
      <w:r>
        <w:rPr>
          <w:b/>
          <w:i w:val="0"/>
          <w:color w:val="1A2E55"/>
          <w:sz w:val="19"/>
        </w:rPr>
        <w:t xml:space="preserve">New today. </w:t>
      </w:r>
      <w:r>
        <w:rPr>
          <w:b w:val="0"/>
          <w:i w:val="0"/>
          <w:sz w:val="19"/>
        </w:rPr>
        <w:t>Today's news added a positive signal for CapitaLand Integ. Comm. Trust (the price went the other way), SGX Group (the price went the other way) and DBS Group (the price went the other way). See section 2.</w:t>
      </w:r>
    </w:p>
    <w:p>
      <w:pPr>
        <w:pStyle w:val="ListBullet"/>
        <w:spacing w:after="40"/>
      </w:pPr>
      <w:r>
        <w:rPr>
          <w:b/>
          <w:i w:val="0"/>
          <w:color w:val="1A2E55"/>
          <w:sz w:val="19"/>
        </w:rPr>
        <w:t xml:space="preserve">Next 3 days. </w:t>
      </w:r>
      <w:r>
        <w:rPr>
          <w:b w:val="0"/>
          <w:i w:val="0"/>
          <w:sz w:val="19"/>
        </w:rPr>
        <w:t>The forecast model leans towards a rise for OCBC Bank and Wilmar Intl; a fall for DBS Group, UOB and Singtel and no big move for the rest (only Wilmar Intl with a ✓ record); normal 3-day swings run from ±1.0% (Mapletree Industrial) to ±2.7% (SGX Group), so a bigger move than a stock's own swing would be unusual. See section 3.</w:t>
      </w:r>
    </w:p>
    <w:p>
      <w:pPr>
        <w:pStyle w:val="ListBullet"/>
        <w:spacing w:after="40"/>
      </w:pPr>
      <w:r>
        <w:rPr>
          <w:b/>
          <w:i w:val="0"/>
          <w:color w:val="1A2E55"/>
          <w:sz w:val="19"/>
        </w:rPr>
        <w:t xml:space="preserve">For you. </w:t>
      </w:r>
      <w:r>
        <w:rPr>
          <w:b w:val="0"/>
          <w:i w:val="0"/>
          <w:sz w:val="19"/>
        </w:rPr>
        <w:t>No stock is flagged ⚑ today. The moves in Sembcorp Industries came without company news, so sector or market news is the place to check before reacting. If you prefer less day-to-day movement, Mapletree Industrial, ComfortDelGro, Raffles Medical Group, CapitaLand Integ. Comm. Trust and Keppel Corp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09–15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CapitaLand Integ. Comm. Trust ★</w:t>
            </w:r>
          </w:p>
        </w:tc>
        <w:tc>
          <w:tcPr>
            <w:tcW w:type="dxa" w:w="662"/>
          </w:tcPr>
          <w:p>
            <w:pPr>
              <w:jc w:val="right"/>
            </w:pPr>
            <w:r>
              <w:rPr>
                <w:b w:val="0"/>
                <w:i w:val="0"/>
                <w:color w:val="A12D2C"/>
                <w:sz w:val="15"/>
              </w:rPr>
              <w:t>-0.9%</w:t>
            </w:r>
          </w:p>
        </w:tc>
        <w:tc>
          <w:tcPr>
            <w:tcW w:type="dxa" w:w="792"/>
          </w:tcPr>
          <w:p>
            <w:pPr>
              <w:jc w:val="right"/>
            </w:pPr>
            <w:r>
              <w:rPr>
                <w:b w:val="0"/>
                <w:i w:val="0"/>
                <w:color w:val="A12D2C"/>
                <w:sz w:val="15"/>
              </w:rPr>
              <w:t>-3.0%</w:t>
            </w:r>
          </w:p>
        </w:tc>
        <w:tc>
          <w:tcPr>
            <w:tcW w:type="dxa" w:w="1037"/>
            <w:shd w:val="clear" w:color="auto" w:fill="DCEAFB"/>
          </w:tcPr>
          <w:p>
            <w:r>
              <w:rPr>
                <w:b/>
                <w:i w:val="0"/>
                <w:color w:val="1C5CAB"/>
                <w:sz w:val="15"/>
              </w:rPr>
              <w:t>Positive</w:t>
            </w:r>
          </w:p>
        </w:tc>
        <w:tc>
          <w:tcPr>
            <w:tcW w:type="dxa" w:w="1382"/>
          </w:tcPr>
          <w:p>
            <w:r>
              <w:rPr>
                <w:b w:val="0"/>
                <w:i w:val="0"/>
                <w:sz w:val="15"/>
              </w:rPr>
              <w:t>Mostly positive (27)</w:t>
            </w:r>
          </w:p>
        </w:tc>
        <w:tc>
          <w:tcPr>
            <w:tcW w:type="dxa" w:w="1872"/>
          </w:tcPr>
          <w:p>
            <w:r>
              <w:rPr>
                <w:b w:val="0"/>
                <w:i w:val="0"/>
                <w:sz w:val="15"/>
              </w:rPr>
              <w:t>Oversold</w:t>
            </w:r>
          </w:p>
        </w:tc>
        <w:tc>
          <w:tcPr>
            <w:tcW w:type="dxa" w:w="1642"/>
          </w:tcPr>
          <w:p>
            <w:r>
              <w:rPr>
                <w:b w:val="0"/>
                <w:i w:val="0"/>
                <w:sz w:val="15"/>
              </w:rPr>
              <w:t>Price went the other way</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A12D2C"/>
                <w:sz w:val="15"/>
              </w:rPr>
              <w:t>-1.7%</w:t>
            </w:r>
          </w:p>
        </w:tc>
        <w:tc>
          <w:tcPr>
            <w:tcW w:type="dxa" w:w="792"/>
            <w:shd w:val="clear" w:color="auto" w:fill="F7F7F5"/>
          </w:tcPr>
          <w:p>
            <w:pPr>
              <w:jc w:val="right"/>
            </w:pPr>
            <w:r>
              <w:rPr>
                <w:b w:val="0"/>
                <w:i w:val="0"/>
                <w:color w:val="A12D2C"/>
                <w:sz w:val="15"/>
              </w:rPr>
              <w:t>-9.5%</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Oversold · Below range</w:t>
            </w:r>
          </w:p>
        </w:tc>
        <w:tc>
          <w:tcPr>
            <w:tcW w:type="dxa" w:w="1642"/>
            <w:shd w:val="clear" w:color="auto" w:fill="F7F7F5"/>
          </w:tcPr>
          <w:p>
            <w:r>
              <w:rPr>
                <w:b w:val="0"/>
                <w:i w:val="0"/>
                <w:sz w:val="15"/>
              </w:rPr>
              <w:t>Price went the other way</w:t>
            </w:r>
          </w:p>
        </w:tc>
      </w:tr>
      <w:tr>
        <w:tc>
          <w:tcPr>
            <w:tcW w:type="dxa" w:w="360"/>
          </w:tcPr>
          <w:p>
            <w:r>
              <w:rPr>
                <w:b w:val="0"/>
                <w:i w:val="0"/>
                <w:sz w:val="15"/>
              </w:rPr>
              <w:t>3</w:t>
            </w:r>
          </w:p>
        </w:tc>
        <w:tc>
          <w:tcPr>
            <w:tcW w:type="dxa" w:w="2189"/>
          </w:tcPr>
          <w:p>
            <w:r>
              <w:rPr>
                <w:b w:val="0"/>
                <w:i w:val="0"/>
                <w:sz w:val="15"/>
              </w:rPr>
              <w:t>DBS Group ★</w:t>
            </w:r>
          </w:p>
        </w:tc>
        <w:tc>
          <w:tcPr>
            <w:tcW w:type="dxa" w:w="662"/>
          </w:tcPr>
          <w:p>
            <w:pPr>
              <w:jc w:val="right"/>
            </w:pPr>
            <w:r>
              <w:rPr>
                <w:b w:val="0"/>
                <w:i w:val="0"/>
                <w:color w:val="A12D2C"/>
                <w:sz w:val="15"/>
              </w:rPr>
              <w:t>-1.2%</w:t>
            </w:r>
          </w:p>
        </w:tc>
        <w:tc>
          <w:tcPr>
            <w:tcW w:type="dxa" w:w="792"/>
          </w:tcPr>
          <w:p>
            <w:pPr>
              <w:jc w:val="right"/>
            </w:pPr>
            <w:r>
              <w:rPr>
                <w:b w:val="0"/>
                <w:i w:val="0"/>
                <w:color w:val="A12D2C"/>
                <w:sz w:val="15"/>
              </w:rPr>
              <w:t>-1.7%</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went the other way</w:t>
            </w:r>
          </w:p>
        </w:tc>
      </w:tr>
      <w:tr>
        <w:tc>
          <w:tcPr>
            <w:tcW w:type="dxa" w:w="360"/>
            <w:shd w:val="clear" w:color="auto" w:fill="F7F7F5"/>
          </w:tcPr>
          <w:p>
            <w:r>
              <w:rPr>
                <w:b w:val="0"/>
                <w:i w:val="0"/>
                <w:sz w:val="15"/>
              </w:rPr>
              <w:t>4</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-2.1%</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(22)</w:t>
            </w:r>
          </w:p>
        </w:tc>
        <w:tc>
          <w:tcPr>
            <w:tcW w:type="dxa" w:w="1872"/>
            <w:shd w:val="clear" w:color="auto" w:fill="F7F7F5"/>
          </w:tcPr>
          <w:p>
            <w:r>
              <w:rPr>
                <w:b w:val="0"/>
                <w:i w:val="0"/>
                <w:sz w:val="15"/>
              </w:rPr>
              <w:t>Oversold · Weekly down</w:t>
            </w:r>
          </w:p>
        </w:tc>
        <w:tc>
          <w:tcPr>
            <w:tcW w:type="dxa" w:w="1642"/>
            <w:shd w:val="clear" w:color="auto" w:fill="F7F7F5"/>
          </w:tcPr>
          <w:p>
            <w:r>
              <w:rPr>
                <w:b w:val="0"/>
                <w:i w:val="0"/>
                <w:sz w:val="15"/>
              </w:rPr>
              <w:t>No signal, little move</w:t>
            </w:r>
          </w:p>
        </w:tc>
      </w:tr>
      <w:tr>
        <w:tc>
          <w:tcPr>
            <w:tcW w:type="dxa" w:w="360"/>
          </w:tcPr>
          <w:p>
            <w:r>
              <w:rPr>
                <w:b w:val="0"/>
                <w:i w:val="0"/>
                <w:sz w:val="15"/>
              </w:rPr>
              <w:t>5</w:t>
            </w:r>
          </w:p>
        </w:tc>
        <w:tc>
          <w:tcPr>
            <w:tcW w:type="dxa" w:w="2189"/>
          </w:tcPr>
          <w:p>
            <w:r>
              <w:rPr>
                <w:b w:val="0"/>
                <w:i w:val="0"/>
                <w:sz w:val="15"/>
              </w:rPr>
              <w:t>Mapletree Pan Asia Comm. Trust ★</w:t>
            </w:r>
          </w:p>
        </w:tc>
        <w:tc>
          <w:tcPr>
            <w:tcW w:type="dxa" w:w="662"/>
          </w:tcPr>
          <w:p>
            <w:pPr>
              <w:jc w:val="right"/>
            </w:pPr>
            <w:r>
              <w:rPr>
                <w:b w:val="0"/>
                <w:i w:val="0"/>
                <w:color w:val="1C5CAB"/>
                <w:sz w:val="15"/>
              </w:rPr>
              <w:t>+0.8%</w:t>
            </w:r>
          </w:p>
        </w:tc>
        <w:tc>
          <w:tcPr>
            <w:tcW w:type="dxa" w:w="792"/>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tcPr>
          <w:p>
            <w:r>
              <w:rPr>
                <w:b w:val="0"/>
                <w:i w:val="0"/>
                <w:sz w:val="15"/>
              </w:rPr>
              <w:t>Mixed (22)</w:t>
            </w:r>
          </w:p>
        </w:tc>
        <w:tc>
          <w:tcPr>
            <w:tcW w:type="dxa" w:w="1872"/>
          </w:tcPr>
          <w:p>
            <w:r>
              <w:rPr>
                <w:b w:val="0"/>
                <w:i w:val="0"/>
                <w:sz w:val="15"/>
              </w:rPr>
              <w:t>Oversold · Weekly down</w:t>
            </w:r>
          </w:p>
        </w:tc>
        <w:tc>
          <w:tcPr>
            <w:tcW w:type="dxa" w:w="1642"/>
          </w:tcPr>
          <w:p>
            <w:r>
              <w:rPr>
                <w:b w:val="0"/>
                <w:i w:val="0"/>
                <w:sz w:val="15"/>
              </w:rPr>
              <w:t>Moved without a signal</w:t>
            </w:r>
          </w:p>
        </w:tc>
      </w:tr>
      <w:tr>
        <w:tc>
          <w:tcPr>
            <w:tcW w:type="dxa" w:w="360"/>
            <w:shd w:val="clear" w:color="auto" w:fill="F7F7F5"/>
          </w:tcPr>
          <w:p>
            <w:r>
              <w:rPr>
                <w:b w:val="0"/>
                <w:i w:val="0"/>
                <w:sz w:val="15"/>
              </w:rPr>
              <w:t>6</w:t>
            </w:r>
          </w:p>
        </w:tc>
        <w:tc>
          <w:tcPr>
            <w:tcW w:type="dxa" w:w="2189"/>
            <w:shd w:val="clear" w:color="auto" w:fill="F7F7F5"/>
          </w:tcPr>
          <w:p>
            <w:r>
              <w:rPr>
                <w:b w:val="0"/>
                <w:i w:val="0"/>
                <w:sz w:val="15"/>
              </w:rPr>
              <w:t>OCBC Bank ★</w:t>
            </w:r>
          </w:p>
        </w:tc>
        <w:tc>
          <w:tcPr>
            <w:tcW w:type="dxa" w:w="662"/>
            <w:shd w:val="clear" w:color="auto" w:fill="F7F7F5"/>
          </w:tcPr>
          <w:p>
            <w:pPr>
              <w:jc w:val="right"/>
            </w:pPr>
            <w:r>
              <w:rPr>
                <w:b w:val="0"/>
                <w:i w:val="0"/>
                <w:color w:val="A12D2C"/>
                <w:sz w:val="15"/>
              </w:rPr>
              <w:t>-2.7%</w:t>
            </w:r>
          </w:p>
        </w:tc>
        <w:tc>
          <w:tcPr>
            <w:tcW w:type="dxa" w:w="792"/>
            <w:shd w:val="clear" w:color="auto" w:fill="F7F7F5"/>
          </w:tcPr>
          <w:p>
            <w:pPr>
              <w:jc w:val="right"/>
            </w:pPr>
            <w:r>
              <w:rPr>
                <w:b w:val="0"/>
                <w:i w:val="0"/>
                <w:color w:val="A12D2C"/>
                <w:sz w:val="15"/>
              </w:rPr>
              <w:t>-2.2%</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Moved without a signal</w:t>
            </w:r>
          </w:p>
        </w:tc>
      </w:tr>
      <w:tr>
        <w:tc>
          <w:tcPr>
            <w:tcW w:type="dxa" w:w="360"/>
          </w:tcPr>
          <w:p>
            <w:r>
              <w:rPr>
                <w:b w:val="0"/>
                <w:i w:val="0"/>
                <w:sz w:val="15"/>
              </w:rPr>
              <w:t>7</w:t>
            </w:r>
          </w:p>
        </w:tc>
        <w:tc>
          <w:tcPr>
            <w:tcW w:type="dxa" w:w="2189"/>
          </w:tcPr>
          <w:p>
            <w:r>
              <w:rPr>
                <w:b w:val="0"/>
                <w:i w:val="0"/>
                <w:sz w:val="15"/>
              </w:rPr>
              <w:t>UOB ★</w:t>
            </w:r>
          </w:p>
        </w:tc>
        <w:tc>
          <w:tcPr>
            <w:tcW w:type="dxa" w:w="662"/>
          </w:tcPr>
          <w:p>
            <w:pPr>
              <w:jc w:val="right"/>
            </w:pPr>
            <w:r>
              <w:rPr>
                <w:b w:val="0"/>
                <w:i w:val="0"/>
                <w:color w:val="A12D2C"/>
                <w:sz w:val="15"/>
              </w:rPr>
              <w:t>-2.4%</w:t>
            </w:r>
          </w:p>
        </w:tc>
        <w:tc>
          <w:tcPr>
            <w:tcW w:type="dxa" w:w="792"/>
          </w:tcPr>
          <w:p>
            <w:pPr>
              <w:jc w:val="right"/>
            </w:pPr>
            <w:r>
              <w:rPr>
                <w:b w:val="0"/>
                <w:i w:val="0"/>
                <w:color w:val="A12D2C"/>
                <w:sz w:val="15"/>
              </w:rPr>
              <w:t>-0.6%</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Moved without a signal</w:t>
            </w:r>
          </w:p>
        </w:tc>
      </w:tr>
      <w:tr>
        <w:tc>
          <w:tcPr>
            <w:tcW w:type="dxa" w:w="360"/>
            <w:shd w:val="clear" w:color="auto" w:fill="F7F7F5"/>
          </w:tcPr>
          <w:p>
            <w:r>
              <w:rPr>
                <w:b w:val="0"/>
                <w:i w:val="0"/>
                <w:sz w:val="15"/>
              </w:rPr>
              <w:t>8</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A12D2C"/>
                <w:sz w:val="15"/>
              </w:rPr>
              <w:t>-1.1%</w:t>
            </w:r>
          </w:p>
        </w:tc>
        <w:tc>
          <w:tcPr>
            <w:tcW w:type="dxa" w:w="792"/>
            <w:shd w:val="clear" w:color="auto" w:fill="F7F7F5"/>
          </w:tcPr>
          <w:p>
            <w:pPr>
              <w:jc w:val="right"/>
            </w:pPr>
            <w:r>
              <w:rPr>
                <w:b w:val="0"/>
                <w:i w:val="0"/>
                <w:color w:val="A12D2C"/>
                <w:sz w:val="15"/>
              </w:rPr>
              <w:t>-5.7%</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(32)</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9</w:t>
            </w:r>
          </w:p>
        </w:tc>
        <w:tc>
          <w:tcPr>
            <w:tcW w:type="dxa" w:w="2189"/>
          </w:tcPr>
          <w:p>
            <w:r>
              <w:rPr>
                <w:b w:val="0"/>
                <w:i w:val="0"/>
                <w:sz w:val="15"/>
              </w:rPr>
              <w:t>Singtel ★</w:t>
            </w:r>
          </w:p>
        </w:tc>
        <w:tc>
          <w:tcPr>
            <w:tcW w:type="dxa" w:w="662"/>
          </w:tcPr>
          <w:p>
            <w:pPr>
              <w:jc w:val="right"/>
            </w:pPr>
            <w:r>
              <w:rPr>
                <w:b w:val="0"/>
                <w:i w:val="0"/>
                <w:color w:val="52514E"/>
                <w:sz w:val="15"/>
              </w:rPr>
              <w:t>-0.2%</w:t>
            </w:r>
          </w:p>
        </w:tc>
        <w:tc>
          <w:tcPr>
            <w:tcW w:type="dxa" w:w="792"/>
          </w:tcPr>
          <w:p>
            <w:pPr>
              <w:jc w:val="right"/>
            </w:pPr>
            <w:r>
              <w:rPr>
                <w:b w:val="0"/>
                <w:i w:val="0"/>
                <w:color w:val="A12D2C"/>
                <w:sz w:val="15"/>
              </w:rPr>
              <w:t>-2.0%</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Above avg price</w:t>
            </w:r>
          </w:p>
        </w:tc>
        <w:tc>
          <w:tcPr>
            <w:tcW w:type="dxa" w:w="1642"/>
          </w:tcPr>
          <w:p>
            <w:r>
              <w:rPr>
                <w:b w:val="0"/>
                <w:i w:val="0"/>
                <w:sz w:val="15"/>
              </w:rPr>
              <w:t>No signal, little move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Sembcorp Industries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-3.4%</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(23)</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11</w:t>
            </w:r>
          </w:p>
        </w:tc>
        <w:tc>
          <w:tcPr>
            <w:tcW w:type="dxa" w:w="2189"/>
          </w:tcPr>
          <w:p>
            <w:r>
              <w:rPr>
                <w:b w:val="0"/>
                <w:i w:val="0"/>
                <w:sz w:val="15"/>
              </w:rPr>
              <w:t>Wilmar Intl ★</w:t>
            </w:r>
          </w:p>
        </w:tc>
        <w:tc>
          <w:tcPr>
            <w:tcW w:type="dxa" w:w="662"/>
          </w:tcPr>
          <w:p>
            <w:pPr>
              <w:jc w:val="right"/>
            </w:pPr>
            <w:r>
              <w:rPr>
                <w:b w:val="0"/>
                <w:i w:val="0"/>
                <w:color w:val="A12D2C"/>
                <w:sz w:val="15"/>
              </w:rPr>
              <w:t>-0.5%</w:t>
            </w:r>
          </w:p>
        </w:tc>
        <w:tc>
          <w:tcPr>
            <w:tcW w:type="dxa" w:w="792"/>
          </w:tcPr>
          <w:p>
            <w:pPr>
              <w:jc w:val="right"/>
            </w:pPr>
            <w:r>
              <w:rPr>
                <w:b w:val="0"/>
                <w:i w:val="0"/>
                <w:color w:val="A12D2C"/>
                <w:sz w:val="15"/>
              </w:rPr>
              <w:t>-0.8%</w:t>
            </w:r>
          </w:p>
        </w:tc>
        <w:tc>
          <w:tcPr>
            <w:tcW w:type="dxa" w:w="1037"/>
            <w:shd w:val="clear" w:color="auto" w:fill="EFEEEA"/>
          </w:tcPr>
          <w:p>
            <w:r>
              <w:rPr>
                <w:b/>
                <w:i w:val="0"/>
                <w:color w:val="52514E"/>
                <w:sz w:val="15"/>
              </w:rPr>
              <w:t>Neutral</w:t>
            </w:r>
          </w:p>
        </w:tc>
        <w:tc>
          <w:tcPr>
            <w:tcW w:type="dxa" w:w="1382"/>
          </w:tcPr>
          <w:p>
            <w:r>
              <w:rPr>
                <w:b w:val="0"/>
                <w:i w:val="0"/>
                <w:sz w:val="15"/>
              </w:rPr>
              <w:t>Mixed (19)</w:t>
            </w:r>
          </w:p>
        </w:tc>
        <w:tc>
          <w:tcPr>
            <w:tcW w:type="dxa" w:w="1872"/>
          </w:tcPr>
          <w:p>
            <w:r>
              <w:rPr>
                <w:b w:val="0"/>
                <w:i w:val="0"/>
                <w:sz w:val="15"/>
              </w:rPr>
              <w:t>Above avg price</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ST Engineering ★</w:t>
            </w:r>
          </w:p>
        </w:tc>
        <w:tc>
          <w:tcPr>
            <w:tcW w:type="dxa" w:w="662"/>
            <w:shd w:val="clear" w:color="auto" w:fill="F7F7F5"/>
          </w:tcPr>
          <w:p>
            <w:pPr>
              <w:jc w:val="right"/>
            </w:pPr>
            <w:r>
              <w:rPr>
                <w:b w:val="0"/>
                <w:i w:val="0"/>
                <w:color w:val="A12D2C"/>
                <w:sz w:val="15"/>
              </w:rPr>
              <w:t>-0.9%</w:t>
            </w:r>
          </w:p>
        </w:tc>
        <w:tc>
          <w:tcPr>
            <w:tcW w:type="dxa" w:w="792"/>
            <w:shd w:val="clear" w:color="auto" w:fill="F7F7F5"/>
          </w:tcPr>
          <w:p>
            <w:pPr>
              <w:jc w:val="right"/>
            </w:pPr>
            <w:r>
              <w:rPr>
                <w:b w:val="0"/>
                <w:i w:val="0"/>
                <w:color w:val="A12D2C"/>
                <w:sz w:val="15"/>
              </w:rPr>
              <w:t>-2.0%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13</w:t>
            </w:r>
          </w:p>
        </w:tc>
        <w:tc>
          <w:tcPr>
            <w:tcW w:type="dxa" w:w="2189"/>
          </w:tcPr>
          <w:p>
            <w:r>
              <w:rPr>
                <w:b w:val="0"/>
                <w:i w:val="0"/>
                <w:sz w:val="15"/>
              </w:rPr>
              <w:t>Raffles Medical Group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-1.2%</w:t>
            </w:r>
          </w:p>
        </w:tc>
        <w:tc>
          <w:tcPr>
            <w:tcW w:type="dxa" w:w="1037"/>
            <w:shd w:val="clear" w:color="auto" w:fill="EFEEEA"/>
          </w:tcPr>
          <w:p>
            <w:r>
              <w:rPr>
                <w:b/>
                <w:i w:val="0"/>
                <w:color w:val="52514E"/>
                <w:sz w:val="15"/>
              </w:rPr>
              <w:t>Neutral</w:t>
            </w:r>
          </w:p>
        </w:tc>
        <w:tc>
          <w:tcPr>
            <w:tcW w:type="dxa" w:w="1382"/>
          </w:tcPr>
          <w:p>
            <w:r>
              <w:rPr>
                <w:b w:val="0"/>
                <w:i w:val="0"/>
                <w:sz w:val="15"/>
              </w:rPr>
              <w:t>Mixed (27)</w:t>
            </w:r>
          </w:p>
        </w:tc>
        <w:tc>
          <w:tcPr>
            <w:tcW w:type="dxa" w:w="1872"/>
          </w:tcPr>
          <w:p>
            <w:r>
              <w:rPr>
                <w:b w:val="0"/>
                <w:i w:val="0"/>
                <w:sz w:val="15"/>
              </w:rPr>
              <w:t>Weekly down · Trend turned up</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Mapletree Industrial ★</w:t>
            </w:r>
          </w:p>
        </w:tc>
        <w:tc>
          <w:tcPr>
            <w:tcW w:type="dxa" w:w="662"/>
            <w:shd w:val="clear" w:color="auto" w:fill="F7F7F5"/>
          </w:tcPr>
          <w:p>
            <w:pPr>
              <w:jc w:val="right"/>
            </w:pPr>
            <w:r>
              <w:rPr>
                <w:b w:val="0"/>
                <w:i w:val="0"/>
                <w:color w:val="A12D2C"/>
                <w:sz w:val="15"/>
              </w:rPr>
              <w:t>-0.5%</w:t>
            </w:r>
          </w:p>
        </w:tc>
        <w:tc>
          <w:tcPr>
            <w:tcW w:type="dxa" w:w="792"/>
            <w:shd w:val="clear" w:color="auto" w:fill="F7F7F5"/>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(26)</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ComfortDelGro ★</w:t>
            </w:r>
          </w:p>
        </w:tc>
        <w:tc>
          <w:tcPr>
            <w:tcW w:type="dxa" w:w="662"/>
          </w:tcPr>
          <w:p>
            <w:pPr>
              <w:jc w:val="right"/>
            </w:pPr>
            <w:r>
              <w:rPr>
                <w:b w:val="0"/>
                <w:i w:val="0"/>
                <w:color w:val="A12D2C"/>
                <w:sz w:val="15"/>
              </w:rPr>
              <w:t>-1.6%</w:t>
            </w:r>
          </w:p>
        </w:tc>
        <w:tc>
          <w:tcPr>
            <w:tcW w:type="dxa" w:w="792"/>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tcPr>
          <w:p>
            <w:r>
              <w:rPr>
                <w:b w:val="0"/>
                <w:i w:val="0"/>
                <w:sz w:val="15"/>
              </w:rPr>
              <w:t>Mixed (37)</w:t>
            </w:r>
          </w:p>
        </w:tc>
        <w:tc>
          <w:tcPr>
            <w:tcW w:type="dxa" w:w="1872"/>
          </w:tcPr>
          <w:p>
            <w:r>
              <w:rPr>
                <w:b w:val="0"/>
                <w:i w:val="0"/>
                <w:sz w:val="15"/>
              </w:rPr>
              <w:t>Weekly down · Below range</w:t>
            </w:r>
          </w:p>
        </w:tc>
        <w:tc>
          <w:tcPr>
            <w:tcW w:type="dxa" w:w="1642"/>
          </w:tcPr>
          <w:p>
            <w:r>
              <w:rPr>
                <w:b w:val="0"/>
                <w:i w:val="0"/>
                <w:sz w:val="15"/>
              </w:rPr>
              <w:t>Moved without a signal</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09–15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15.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CapitaLand Integrated Commercial Trust</w:t>
            </w:r>
            <w:r>
              <w:rPr>
                <w:b w:val="0"/>
                <w:i w:val="0"/>
                <w:color w:val="52514E"/>
                <w:sz w:val="17"/>
              </w:rPr>
              <w:t xml:space="preserve">   REIT  ·  -3.0% over 09–15 Sep</w:t>
            </w:r>
          </w:p>
          <w:p>
            <w:pPr>
              <w:spacing w:after="10" w:line="240" w:lineRule="auto"/>
            </w:pPr>
            <w:r>
              <w:rPr>
                <w:b/>
                <w:i w:val="0"/>
                <w:color w:val="1A2E55"/>
                <w:sz w:val="16"/>
              </w:rPr>
              <w:t xml:space="preserve">In short (AI-written, checked)  </w:t>
            </w:r>
            <w:r>
              <w:rPr>
                <w:b w:val="0"/>
                <w:i w:val="0"/>
                <w:sz w:val="16"/>
              </w:rPr>
              <w:t>CapitaLand Integrated Commercial Trust fell 3.0% over 09–15 Sep. The news today was mostly positive, but the price moved the other way, so the news does not explain the move. The forecast model expects no big move, and that forecast deserves little weight.</w:t>
            </w:r>
          </w:p>
          <w:p>
            <w:pPr>
              <w:spacing w:after="10" w:line="240" w:lineRule="auto"/>
            </w:pPr>
            <w:r>
              <w:rPr>
                <w:b/>
                <w:i w:val="0"/>
                <w:color w:val="1A2E55"/>
                <w:sz w:val="16"/>
              </w:rPr>
              <w:t xml:space="preserve">What happened  </w:t>
            </w:r>
            <w:r>
              <w:rPr>
                <w:b w:val="0"/>
                <w:i w:val="0"/>
                <w:sz w:val="16"/>
              </w:rPr>
              <w:t>Fell 3.0% over 09–15 Sep; its biggest day was Thu 10 Sep (-1.7%). Today -0.9%.</w:t>
            </w:r>
          </w:p>
          <w:p>
            <w:pPr>
              <w:spacing w:after="10" w:line="240" w:lineRule="auto"/>
            </w:pPr>
            <w:r>
              <w:rPr>
                <w:b/>
                <w:i w:val="0"/>
                <w:color w:val="1A2E55"/>
                <w:sz w:val="16"/>
              </w:rPr>
              <w:t xml:space="preserve">Today: news vs price  </w:t>
            </w:r>
            <w:r>
              <w:rPr>
                <w:b w:val="0"/>
                <w:i w:val="0"/>
                <w:sz w:val="16"/>
              </w:rPr>
              <w:t>Positive reading, but the price fell 0.9%: the price went against the news. The forecast model has no clear view. (Pattern: Noise.)</w:t>
            </w:r>
          </w:p>
          <w:p>
            <w:pPr>
              <w:spacing w:after="10" w:line="240" w:lineRule="auto"/>
            </w:pPr>
            <w:r>
              <w:rPr>
                <w:b/>
                <w:i w:val="0"/>
                <w:color w:val="1A2E55"/>
                <w:sz w:val="16"/>
              </w:rPr>
              <w:t xml:space="preserve">Last 5 days in context  </w:t>
            </w:r>
            <w:r>
              <w:rPr>
                <w:b w:val="0"/>
                <w:i w:val="0"/>
                <w:sz w:val="16"/>
              </w:rPr>
              <w:t>Company news collected today was mostly positive; the price fell 3.0% over 09–15 Sep, its 3 sector peers -1.8% on average, and the 15 stocks -2.6% on average. So the company news and the price disagree; the move looks sector-wide.</w:t>
            </w:r>
          </w:p>
          <w:p>
            <w:pPr>
              <w:spacing w:after="10" w:line="240" w:lineRule="auto"/>
            </w:pPr>
            <w:r>
              <w:rPr>
                <w:b/>
                <w:i w:val="0"/>
                <w:color w:val="1A2E55"/>
                <w:sz w:val="16"/>
              </w:rPr>
              <w:t xml:space="preserve">News today  </w:t>
            </w:r>
            <w:r>
              <w:rPr>
                <w:b w:val="0"/>
                <w:i w:val="0"/>
                <w:sz w:val="16"/>
              </w:rPr>
              <w:t>27 articles collected today: 11 positive, 4 negative, 12 neutral (mostly positive). Event tags: dividend, earnings.</w:t>
            </w:r>
          </w:p>
          <w:p>
            <w:pPr>
              <w:spacing w:after="10" w:line="240" w:lineRule="auto"/>
            </w:pPr>
            <w:r>
              <w:rPr>
                <w:b/>
                <w:i w:val="0"/>
                <w:color w:val="1A2E55"/>
                <w:sz w:val="16"/>
              </w:rPr>
              <w:t xml:space="preserve">Headlines  </w:t>
            </w:r>
            <w:r>
              <w:rPr>
                <w:b w:val="0"/>
                <w:i w:val="0"/>
                <w:sz w:val="16"/>
              </w:rPr>
              <w:t>+ “CapitaLand Integrated Commercial Trust leads institutional inflows as fund flows reverse course” (reitsweek, 09 Sep)</w:t>
            </w:r>
          </w:p>
          <w:p>
            <w:pPr>
              <w:spacing w:after="10" w:line="240" w:lineRule="auto"/>
            </w:pPr>
            <w:r>
              <w:rPr>
                <w:b/>
                <w:i w:val="0"/>
                <w:color w:val="1A2E55"/>
                <w:sz w:val="16"/>
              </w:rPr>
              <w:t xml:space="preserve">Price chart  </w:t>
            </w:r>
            <w:r>
              <w:rPr>
                <w:b w:val="0"/>
                <w:i w:val="0"/>
                <w:sz w:val="16"/>
              </w:rPr>
              <w:t>RSI 29, below 30: the price fell fast ('oversold').</w:t>
            </w:r>
          </w:p>
          <w:p>
            <w:pPr>
              <w:spacing w:after="10" w:line="240" w:lineRule="auto"/>
            </w:pPr>
            <w:r>
              <w:rPr>
                <w:b/>
                <w:i w:val="0"/>
                <w:color w:val="1A2E55"/>
                <w:sz w:val="16"/>
              </w:rPr>
              <w:t xml:space="preserve">News &amp; signals reading  </w:t>
            </w:r>
            <w:r>
              <w:rPr>
                <w:b w:val="0"/>
                <w:i w:val="0"/>
                <w:sz w:val="16"/>
              </w:rPr>
              <w:t>Positive today (score +0.67; positive above +0.35, negative below −0.35), and on 3 of the 4 earlier recorded days. Without the 'oversold' signal it would be neutral.</w:t>
            </w:r>
          </w:p>
          <w:p>
            <w:pPr>
              <w:spacing w:after="10" w:line="240" w:lineRule="auto"/>
            </w:pPr>
            <w:r>
              <w:rPr>
                <w:b/>
                <w:i w:val="0"/>
                <w:color w:val="1A2E55"/>
                <w:sz w:val="16"/>
              </w:rPr>
              <w:t xml:space="preserve">Rules behind the reading  </w:t>
            </w:r>
            <w:r>
              <w:rPr>
                <w:b w:val="0"/>
                <w:i w:val="0"/>
                <w:sz w:val="16"/>
              </w:rPr>
              <w:t>Up: RSI oversold +0.38, earnings/dividend headlines +0.20, positive company news +0.18.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CapitaLand Integrated Commercial Trust remains positive as RSI oversold and momentum, coupled with a positive geopolitical backdrop and strong corporate events such as the S$160 million Plaza Singapura upgrade and the S$600 million private placement, drive confidence. ML-model analysis reinforces RSI momentum and a high put/call volume ratio as key positive signals, while the company’s solid first‑quarter results and rising DPU further support the outlook. However, elevated political news volume and options market negative positioning introduce downside risk, and the negative political news tone and high news coverage volume suggest potential volatility.</w:t>
            </w:r>
          </w:p>
          <w:p>
            <w:pPr>
              <w:spacing w:after="10" w:line="240" w:lineRule="auto"/>
            </w:pPr>
            <w:r>
              <w:rPr>
                <w:b/>
                <w:i w:val="0"/>
                <w:color w:val="1A2E55"/>
                <w:sz w:val="16"/>
              </w:rPr>
              <w:t xml:space="preserve">Forecast lean  </w:t>
            </w:r>
            <w:r>
              <w:rPr>
                <w:b w:val="0"/>
                <w:i w:val="0"/>
                <w:sz w:val="16"/>
              </w:rPr>
              <w:t>No big move over the next 3 trading days (chance 96%); its normal 3-day swing is ±1.2%.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-9.5% over 09–15 Sep</w:t>
            </w:r>
          </w:p>
          <w:p>
            <w:pPr>
              <w:spacing w:after="10" w:line="240" w:lineRule="auto"/>
            </w:pPr>
            <w:r>
              <w:rPr>
                <w:b/>
                <w:i w:val="0"/>
                <w:color w:val="1A2E55"/>
                <w:sz w:val="16"/>
              </w:rPr>
              <w:t xml:space="preserve">In short (AI-written, checked)  </w:t>
            </w:r>
            <w:r>
              <w:rPr>
                <w:b w:val="0"/>
                <w:i w:val="0"/>
                <w:sz w:val="16"/>
              </w:rPr>
              <w:t>SGX Group fell 9.5% over 09–15 Sep. The news today was mostly positive, yet the price moved the other way, so the news does not explain the move. The forecast model expects no big move, and that forecast deserves little weight.</w:t>
            </w:r>
          </w:p>
          <w:p>
            <w:pPr>
              <w:spacing w:after="10" w:line="240" w:lineRule="auto"/>
            </w:pPr>
            <w:r>
              <w:rPr>
                <w:b/>
                <w:i w:val="0"/>
                <w:color w:val="1A2E55"/>
                <w:sz w:val="16"/>
              </w:rPr>
              <w:t xml:space="preserve">What happened  </w:t>
            </w:r>
            <w:r>
              <w:rPr>
                <w:b w:val="0"/>
                <w:i w:val="0"/>
                <w:sz w:val="16"/>
              </w:rPr>
              <w:t>Fell 9.5% over 09–15 Sep, most of it on Mon 14 Sep (-5.7%). Today -1.7%.</w:t>
            </w:r>
          </w:p>
          <w:p>
            <w:pPr>
              <w:spacing w:after="10" w:line="240" w:lineRule="auto"/>
            </w:pPr>
            <w:r>
              <w:rPr>
                <w:b/>
                <w:i w:val="0"/>
                <w:color w:val="1A2E55"/>
                <w:sz w:val="16"/>
              </w:rPr>
              <w:t xml:space="preserve">Today: news vs price  </w:t>
            </w:r>
            <w:r>
              <w:rPr>
                <w:b w:val="0"/>
                <w:i w:val="0"/>
                <w:sz w:val="16"/>
              </w:rPr>
              <w:t>Positive reading, but the price fell 1.7%: the price went against the news. The forecast model has no clear view. (Pattern: Noise.)</w:t>
            </w:r>
          </w:p>
          <w:p>
            <w:pPr>
              <w:spacing w:after="10" w:line="240" w:lineRule="auto"/>
            </w:pPr>
            <w:r>
              <w:rPr>
                <w:b/>
                <w:i w:val="0"/>
                <w:color w:val="1A2E55"/>
                <w:sz w:val="16"/>
              </w:rPr>
              <w:t xml:space="preserve">Last 5 days in context  </w:t>
            </w:r>
            <w:r>
              <w:rPr>
                <w:b w:val="0"/>
                <w:i w:val="0"/>
                <w:sz w:val="16"/>
              </w:rPr>
              <w:t>Company news collected today was mostly positive; the price fell 9.5% over 09–15 Sep, against -2.6% for the 15 stocks on average. So the company news and the price disagree.</w:t>
            </w:r>
          </w:p>
          <w:p>
            <w:pPr>
              <w:spacing w:after="10" w:line="240" w:lineRule="auto"/>
            </w:pPr>
            <w:r>
              <w:rPr>
                <w:b/>
                <w:i w:val="0"/>
                <w:color w:val="1A2E55"/>
                <w:sz w:val="16"/>
              </w:rPr>
              <w:t xml:space="preserve">News today  </w:t>
            </w:r>
            <w:r>
              <w:rPr>
                <w:b w:val="0"/>
                <w:i w:val="0"/>
                <w:sz w:val="16"/>
              </w:rPr>
              <w:t>50 articles collected today: 26 positive, 8 negative, 16 neutral (mostly positive). Event tags: dividend, earnings, merger or acquisition, management change, upgrade.</w:t>
            </w:r>
          </w:p>
          <w:p>
            <w:pPr>
              <w:spacing w:after="10" w:line="240" w:lineRule="auto"/>
            </w:pPr>
            <w:r>
              <w:rPr>
                <w:b/>
                <w:i w:val="0"/>
                <w:color w:val="1A2E55"/>
                <w:sz w:val="16"/>
              </w:rPr>
              <w:t xml:space="preserve">Headlines  </w:t>
            </w:r>
            <w:r>
              <w:rPr>
                <w:b w:val="0"/>
                <w:i w:val="0"/>
                <w:sz w:val="16"/>
              </w:rPr>
              <w:t>+ “Beyond Blue Chips: 3 Cash-Rich SGX Stocks Boosting Dividends 10%+” (thesmartinvestor.com.sg, 08 Sep)   − “Mary Chia’s CPF court case faces SGX scrutiny, auditor flags 12 areas of concern: Markets th…” (The Straits Times, 13 Sep)</w:t>
            </w:r>
          </w:p>
          <w:p>
            <w:pPr>
              <w:spacing w:after="10" w:line="240" w:lineRule="auto"/>
            </w:pPr>
            <w:r>
              <w:rPr>
                <w:b/>
                <w:i w:val="0"/>
                <w:color w:val="1A2E55"/>
                <w:sz w:val="16"/>
              </w:rPr>
              <w:t xml:space="preserve">Price chart  </w:t>
            </w:r>
            <w:r>
              <w:rPr>
                <w:b w:val="0"/>
                <w:i w:val="0"/>
                <w:sz w:val="16"/>
              </w:rPr>
              <w:t>RSI 25, below 30: the price fell fast ('oversold'); price below its usual range (Bollinger band).</w:t>
            </w:r>
          </w:p>
          <w:p>
            <w:pPr>
              <w:spacing w:after="10" w:line="240" w:lineRule="auto"/>
            </w:pPr>
            <w:r>
              <w:rPr>
                <w:b/>
                <w:i w:val="0"/>
                <w:color w:val="1A2E55"/>
                <w:sz w:val="16"/>
              </w:rPr>
              <w:t xml:space="preserve">News &amp; signals reading  </w:t>
            </w:r>
            <w:r>
              <w:rPr>
                <w:b w:val="0"/>
                <w:i w:val="0"/>
                <w:sz w:val="16"/>
              </w:rPr>
              <w:t>Positive today (score +0.63; positive above +0.35, negative below −0.35), and on all 4 earlier recorded days. Without the 'oversold' signal it would be neutral.</w:t>
            </w:r>
          </w:p>
          <w:p>
            <w:pPr>
              <w:spacing w:after="10" w:line="240" w:lineRule="auto"/>
            </w:pPr>
            <w:r>
              <w:rPr>
                <w:b/>
                <w:i w:val="0"/>
                <w:color w:val="1A2E55"/>
                <w:sz w:val="16"/>
              </w:rPr>
              <w:t xml:space="preserve">Rules behind the reading  </w:t>
            </w:r>
            <w:r>
              <w:rPr>
                <w:b w:val="0"/>
                <w:i w:val="0"/>
                <w:sz w:val="16"/>
              </w:rPr>
              <w:t>Up: RSI oversold +0.38, earnings/dividend headlines +0.20, positive company news +0.18. Down: below usual range −0.04.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The positive outlook for SGX Group is driven by a confluence of technical and fundamental factors. RSI is oversold and momentum is strong, while price sits above VWAP and weekly trend confirmation supports upside, all corroborated by ML-model contributions. Positive company news, including record revenue and dividend growth in FY2026, and a robust IPO pipeline, reinforce the call. However, elevated political news volume, negative options positioning, and a price below the Bollinger lower band introduce caution, and the negative political news tone per ML-model tempers enthusiasm. Overall, the consensus remains positive but with a moderate risk profile.</w:t>
            </w:r>
          </w:p>
          <w:p>
            <w:pPr>
              <w:spacing w:after="10" w:line="240" w:lineRule="auto"/>
            </w:pPr>
            <w:r>
              <w:rPr>
                <w:b/>
                <w:i w:val="0"/>
                <w:color w:val="1A2E55"/>
                <w:sz w:val="16"/>
              </w:rPr>
              <w:t xml:space="preserve">Forecast lean  </w:t>
            </w:r>
            <w:r>
              <w:rPr>
                <w:b w:val="0"/>
                <w:i w:val="0"/>
                <w:sz w:val="16"/>
              </w:rPr>
              <w:t>No big move over the next 3 trading days (chance 84%); its normal 3-day swing is ±2.7%.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DBS Group</w:t>
            </w:r>
            <w:r>
              <w:rPr>
                <w:b w:val="0"/>
                <w:i w:val="0"/>
                <w:color w:val="52514E"/>
                <w:sz w:val="17"/>
              </w:rPr>
              <w:t xml:space="preserve">   Banking  ·  -1.7% over 09–15 Sep</w:t>
            </w:r>
          </w:p>
          <w:p>
            <w:pPr>
              <w:spacing w:after="10" w:line="240" w:lineRule="auto"/>
            </w:pPr>
            <w:r>
              <w:rPr>
                <w:b/>
                <w:i w:val="0"/>
                <w:color w:val="1A2E55"/>
                <w:sz w:val="16"/>
              </w:rPr>
              <w:t xml:space="preserve">In short (AI-written, checked)  </w:t>
            </w:r>
            <w:r>
              <w:rPr>
                <w:b w:val="0"/>
                <w:i w:val="0"/>
                <w:sz w:val="16"/>
              </w:rPr>
              <w:t>DBS Group fell 1.7% over 09–15 Sep. The news today was mostly positive, but the price moved the other way, so the news does not explain the move. The forecast model expects a fall, and that forecast deserves little weight.</w:t>
            </w:r>
          </w:p>
          <w:p>
            <w:pPr>
              <w:spacing w:after="10" w:line="240" w:lineRule="auto"/>
            </w:pPr>
            <w:r>
              <w:rPr>
                <w:b/>
                <w:i w:val="0"/>
                <w:color w:val="1A2E55"/>
                <w:sz w:val="16"/>
              </w:rPr>
              <w:t xml:space="preserve">What happened  </w:t>
            </w:r>
            <w:r>
              <w:rPr>
                <w:b w:val="0"/>
                <w:i w:val="0"/>
                <w:sz w:val="16"/>
              </w:rPr>
              <w:t>Fell 1.7% over 09–15 Sep; its biggest day was Tue 15 Sep (-1.2%). Today -1.2%.</w:t>
            </w:r>
          </w:p>
          <w:p>
            <w:pPr>
              <w:spacing w:after="10" w:line="240" w:lineRule="auto"/>
            </w:pPr>
            <w:r>
              <w:rPr>
                <w:b/>
                <w:i w:val="0"/>
                <w:color w:val="1A2E55"/>
                <w:sz w:val="16"/>
              </w:rPr>
              <w:t xml:space="preserve">Today: news vs price  </w:t>
            </w:r>
            <w:r>
              <w:rPr>
                <w:b w:val="0"/>
                <w:i w:val="0"/>
                <w:sz w:val="16"/>
              </w:rPr>
              <w:t>Positive reading, but the price fell 1.2%: the price went against the news. The forecast model sides with the price. (Pattern: Contradicted.)</w:t>
            </w:r>
          </w:p>
          <w:p>
            <w:pPr>
              <w:spacing w:after="10" w:line="240" w:lineRule="auto"/>
            </w:pPr>
            <w:r>
              <w:rPr>
                <w:b/>
                <w:i w:val="0"/>
                <w:color w:val="1A2E55"/>
                <w:sz w:val="16"/>
              </w:rPr>
              <w:t xml:space="preserve">Last 5 days in context  </w:t>
            </w:r>
            <w:r>
              <w:rPr>
                <w:b w:val="0"/>
                <w:i w:val="0"/>
                <w:sz w:val="16"/>
              </w:rPr>
              <w:t>Company news collected today was mostly positive; the price fell 1.7% over 09–15 Sep, its 2 sector peers -1.4% on average, and the 15 stocks -2.6% on average. So the company news and the price disagree; the move looks sector-wide.</w:t>
            </w:r>
          </w:p>
          <w:p>
            <w:pPr>
              <w:spacing w:after="10" w:line="240" w:lineRule="auto"/>
            </w:pPr>
            <w:r>
              <w:rPr>
                <w:b/>
                <w:i w:val="0"/>
                <w:color w:val="1A2E55"/>
                <w:sz w:val="16"/>
              </w:rPr>
              <w:t xml:space="preserve">News today  </w:t>
            </w:r>
            <w:r>
              <w:rPr>
                <w:b w:val="0"/>
                <w:i w:val="0"/>
                <w:sz w:val="16"/>
              </w:rPr>
              <w:t>50 articles collected today: 30 positive, 8 negative, 12 neutral (mostly positive). Event tags: dividend, earnings, upgrade.</w:t>
            </w:r>
          </w:p>
          <w:p>
            <w:pPr>
              <w:spacing w:after="10" w:line="240" w:lineRule="auto"/>
            </w:pPr>
            <w:r>
              <w:rPr>
                <w:b/>
                <w:i w:val="0"/>
                <w:color w:val="1A2E55"/>
                <w:sz w:val="16"/>
              </w:rPr>
              <w:t xml:space="preserve">Headlines  </w:t>
            </w:r>
            <w:r>
              <w:rPr>
                <w:b w:val="0"/>
                <w:i w:val="0"/>
                <w:sz w:val="16"/>
              </w:rPr>
              <w:t>− “Singapore Shares Remain in Red; DBS Sheds” (Yahoo Finance Singapore, 10 Sep)</w:t>
            </w:r>
          </w:p>
          <w:p>
            <w:pPr>
              <w:spacing w:after="10" w:line="240" w:lineRule="auto"/>
            </w:pPr>
            <w:r>
              <w:rPr>
                <w:b/>
                <w:i w:val="0"/>
                <w:color w:val="1A2E55"/>
                <w:sz w:val="16"/>
              </w:rPr>
              <w:t xml:space="preserve">Price chart  </w:t>
            </w:r>
            <w:r>
              <w:rPr>
                <w:b w:val="0"/>
                <w:i w:val="0"/>
                <w:sz w:val="16"/>
              </w:rPr>
              <w:t>RSI 55,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+0.46; positive above +0.35, negative below −0.35), and on all 4 earlier recorded days. It needs all of 'Earnings/dividend headlines', the positive news and the weekly trend: without any one it would be neutral.</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DBS Group maintains a positive outlook driven by a positive geopolitical backdrop, strong corporate results, and favorable market momentum, as evidenced by record earnings and a S$50 share‑price milestone. The yield curve spread and weekly positive trend further reinforce this stance. However, elevated political news volume and negative options positioning introduce caution, and the linear model’s neutral prediction versus the random forest’s negative signal adds a mild model split. Despite these contradictions, the overall consensus leans positive, supported by recent positive company news and macro‑market stability.</w:t>
            </w:r>
          </w:p>
          <w:p>
            <w:pPr>
              <w:spacing w:after="10" w:line="240" w:lineRule="auto"/>
            </w:pPr>
            <w:r>
              <w:rPr>
                <w:b/>
                <w:i w:val="0"/>
                <w:color w:val="1A2E55"/>
                <w:sz w:val="16"/>
              </w:rPr>
              <w:t xml:space="preserve">Forecast lean  </w:t>
            </w:r>
            <w:r>
              <w:rPr>
                <w:b w:val="0"/>
                <w:i w:val="0"/>
                <w:sz w:val="16"/>
              </w:rPr>
              <w:t>Fall over the next 3 trading days (chance 93%); its normal 3-day swing is ±1.4%.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±1.0%</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±1.1%</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97%</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96%</w:t>
            </w:r>
          </w:p>
        </w:tc>
        <w:tc>
          <w:tcPr>
            <w:tcW w:type="dxa" w:w="2016"/>
            <w:shd w:val="clear" w:color="auto" w:fill="FBE1E0"/>
          </w:tcPr>
          <w:p>
            <w:pPr>
              <w:keepNext/>
            </w:pPr>
            <w:r>
              <w:rPr>
                <w:b/>
                <w:i w:val="0"/>
                <w:color w:val="A12D2C"/>
                <w:sz w:val="16"/>
              </w:rPr>
              <w:t>−12 pts ✗</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±1.2%</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82%</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DBS Group</w:t>
            </w:r>
          </w:p>
        </w:tc>
        <w:tc>
          <w:tcPr>
            <w:tcW w:type="dxa" w:w="1368"/>
          </w:tcPr>
          <w:p>
            <w:pPr>
              <w:keepNext/>
              <w:jc w:val="right"/>
            </w:pPr>
            <w:r>
              <w:rPr>
                <w:b w:val="0"/>
                <w:i w:val="0"/>
                <w:sz w:val="16"/>
              </w:rPr>
              <w:t>±1.4%</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93%</w:t>
            </w:r>
          </w:p>
        </w:tc>
        <w:tc>
          <w:tcPr>
            <w:tcW w:type="dxa" w:w="2016"/>
            <w:shd w:val="clear" w:color="auto" w:fill="FBE1E0"/>
          </w:tcPr>
          <w:p>
            <w:pPr>
              <w:keepNext/>
            </w:pPr>
            <w:r>
              <w:rPr>
                <w:b/>
                <w:i w:val="0"/>
                <w:color w:val="A12D2C"/>
                <w:sz w:val="16"/>
              </w:rPr>
              <w:t>−18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±1.5%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64%</w:t>
            </w:r>
          </w:p>
        </w:tc>
        <w:tc>
          <w:tcPr>
            <w:tcW w:type="dxa" w:w="2016"/>
            <w:shd w:val="clear" w:color="auto" w:fill="FBE1E0"/>
          </w:tcPr>
          <w:p>
            <w:pPr>
              <w:keepNext/>
            </w:pPr>
            <w:r>
              <w:rPr>
                <w:b/>
                <w:i w:val="0"/>
                <w:color w:val="A12D2C"/>
                <w:sz w:val="16"/>
              </w:rPr>
              <w:t>−29 pts ✗</w:t>
            </w:r>
          </w:p>
        </w:tc>
      </w:tr>
      <w:tr>
        <w:tc>
          <w:tcPr>
            <w:tcW w:type="dxa" w:w="2664"/>
          </w:tcPr>
          <w:p>
            <w:pPr>
              <w:keepNext/>
            </w:pPr>
            <w:r>
              <w:rPr>
                <w:b w:val="0"/>
                <w:i w:val="0"/>
                <w:sz w:val="16"/>
              </w:rPr>
              <w:t>ST Engineering</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79%</w:t>
            </w:r>
          </w:p>
        </w:tc>
        <w:tc>
          <w:tcPr>
            <w:tcW w:type="dxa" w:w="2016"/>
            <w:shd w:val="clear" w:color="auto" w:fill="E4F3E4"/>
          </w:tcPr>
          <w:p>
            <w:pPr>
              <w:keepNext/>
            </w:pPr>
            <w:r>
              <w:rPr>
                <w:b/>
                <w:i w:val="0"/>
                <w:color w:val="0A6E0A"/>
                <w:sz w:val="16"/>
              </w:rPr>
              <w:t>+12 pts ✓</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98%</w:t>
            </w:r>
          </w:p>
        </w:tc>
        <w:tc>
          <w:tcPr>
            <w:tcW w:type="dxa" w:w="2016"/>
            <w:shd w:val="clear" w:color="auto" w:fill="FBE1E0"/>
          </w:tcPr>
          <w:p>
            <w:pPr>
              <w:keepNext/>
            </w:pPr>
            <w:r>
              <w:rPr>
                <w:b/>
                <w:i w:val="0"/>
                <w:color w:val="A12D2C"/>
                <w:sz w:val="16"/>
              </w:rPr>
              <w:t>−29 pts ✗</w:t>
            </w:r>
          </w:p>
        </w:tc>
      </w:tr>
      <w:tr>
        <w:tc>
          <w:tcPr>
            <w:tcW w:type="dxa" w:w="2664"/>
          </w:tcPr>
          <w:p>
            <w:pPr>
              <w:keepNext/>
            </w:pPr>
            <w:r>
              <w:rPr>
                <w:b w:val="0"/>
                <w:i w:val="0"/>
                <w:sz w:val="16"/>
              </w:rPr>
              <w:t>Mapletree Pan Asia Comm. Trust</w:t>
            </w:r>
          </w:p>
        </w:tc>
        <w:tc>
          <w:tcPr>
            <w:tcW w:type="dxa" w:w="1368"/>
          </w:tcPr>
          <w:p>
            <w:pPr>
              <w:keepNext/>
              <w:jc w:val="right"/>
            </w:pPr>
            <w:r>
              <w:rPr>
                <w:b w:val="0"/>
                <w:i w:val="0"/>
                <w:sz w:val="16"/>
              </w:rPr>
              <w:t>±1.6%</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86%</w:t>
            </w:r>
          </w:p>
        </w:tc>
        <w:tc>
          <w:tcPr>
            <w:tcW w:type="dxa" w:w="2016"/>
            <w:shd w:val="clear" w:color="auto" w:fill="FBE1E0"/>
          </w:tcPr>
          <w:p>
            <w:pPr>
              <w:keepNext/>
            </w:pPr>
            <w:r>
              <w:rPr>
                <w:b/>
                <w:i w:val="0"/>
                <w:color w:val="A12D2C"/>
                <w:sz w:val="16"/>
              </w:rPr>
              <w:t>−18 pts ✗</w:t>
            </w:r>
          </w:p>
        </w:tc>
      </w:tr>
      <w:tr>
        <w:tc>
          <w:tcPr>
            <w:tcW w:type="dxa" w:w="2664"/>
            <w:shd w:val="clear" w:color="auto" w:fill="F7F7F5"/>
          </w:tcPr>
          <w:p>
            <w:pPr>
              <w:keepNext/>
            </w:pPr>
            <w:r>
              <w:rPr>
                <w:b w:val="0"/>
                <w:i w:val="0"/>
                <w:sz w:val="16"/>
              </w:rPr>
              <w:t>Wilmar Intl</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54%</w:t>
            </w:r>
          </w:p>
        </w:tc>
        <w:tc>
          <w:tcPr>
            <w:tcW w:type="dxa" w:w="2016"/>
            <w:shd w:val="clear" w:color="auto" w:fill="E4F3E4"/>
          </w:tcPr>
          <w:p>
            <w:pPr>
              <w:keepNext/>
            </w:pPr>
            <w:r>
              <w:rPr>
                <w:b/>
                <w:i w:val="0"/>
                <w:color w:val="0A6E0A"/>
                <w:sz w:val="16"/>
              </w:rPr>
              <w:t>+24 pts ✓</w:t>
            </w:r>
          </w:p>
        </w:tc>
      </w:tr>
      <w:tr>
        <w:tc>
          <w:tcPr>
            <w:tcW w:type="dxa" w:w="2664"/>
          </w:tcPr>
          <w:p>
            <w:pPr>
              <w:keepNext/>
            </w:pPr>
            <w:r>
              <w:rPr>
                <w:b w:val="0"/>
                <w:i w:val="0"/>
                <w:sz w:val="16"/>
              </w:rPr>
              <w:t>Keppel Corp</w:t>
            </w:r>
          </w:p>
        </w:tc>
        <w:tc>
          <w:tcPr>
            <w:tcW w:type="dxa" w:w="1368"/>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92%</w:t>
            </w:r>
          </w:p>
        </w:tc>
        <w:tc>
          <w:tcPr>
            <w:tcW w:type="dxa" w:w="2016"/>
            <w:shd w:val="clear" w:color="auto" w:fill="FBE1E0"/>
          </w:tcPr>
          <w:p>
            <w:pPr>
              <w:keepNext/>
            </w:pPr>
            <w:r>
              <w:rPr>
                <w:b/>
                <w:i w:val="0"/>
                <w:color w:val="A12D2C"/>
                <w:sz w:val="16"/>
              </w:rPr>
              <w:t>−6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46%</w:t>
            </w:r>
          </w:p>
        </w:tc>
        <w:tc>
          <w:tcPr>
            <w:tcW w:type="dxa" w:w="2016"/>
            <w:shd w:val="clear" w:color="auto" w:fill="FBE1E0"/>
          </w:tcPr>
          <w:p>
            <w:pPr>
              <w:keepNext/>
            </w:pPr>
            <w:r>
              <w:rPr>
                <w:b/>
                <w:i w:val="0"/>
                <w:color w:val="A12D2C"/>
                <w:sz w:val="16"/>
              </w:rPr>
              <w:t>−24 pts ✗</w:t>
            </w:r>
          </w:p>
        </w:tc>
      </w:tr>
      <w:tr>
        <w:tc>
          <w:tcPr>
            <w:tcW w:type="dxa" w:w="2664"/>
          </w:tcPr>
          <w:p>
            <w:pPr>
              <w:keepNext/>
            </w:pPr>
            <w:r>
              <w:rPr>
                <w:b w:val="0"/>
                <w:i w:val="0"/>
                <w:sz w:val="16"/>
              </w:rPr>
              <w:t>OCBC Bank</w:t>
            </w:r>
          </w:p>
        </w:tc>
        <w:tc>
          <w:tcPr>
            <w:tcW w:type="dxa" w:w="1368"/>
          </w:tcPr>
          <w:p>
            <w:pPr>
              <w:keepNext/>
              <w:jc w:val="right"/>
            </w:pPr>
            <w:r>
              <w:rPr>
                <w:b w:val="0"/>
                <w:i w:val="0"/>
                <w:sz w:val="16"/>
              </w:rPr>
              <w:t>±2.0%</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53%</w:t>
            </w:r>
          </w:p>
        </w:tc>
        <w:tc>
          <w:tcPr>
            <w:tcW w:type="dxa" w:w="2016"/>
            <w:shd w:val="clear" w:color="auto" w:fill="FBE1E0"/>
          </w:tcPr>
          <w:p>
            <w:pPr>
              <w:keepNext/>
            </w:pPr>
            <w:r>
              <w:rPr>
                <w:b/>
                <w:i w:val="0"/>
                <w:color w:val="A12D2C"/>
                <w:sz w:val="16"/>
              </w:rPr>
              <w:t>−18 pts ✗</w:t>
            </w:r>
          </w:p>
        </w:tc>
      </w:tr>
      <w:tr>
        <w:tc>
          <w:tcPr>
            <w:tcW w:type="dxa" w:w="2664"/>
            <w:shd w:val="clear" w:color="auto" w:fill="F7F7F5"/>
          </w:tcPr>
          <w:p>
            <w:pPr>
              <w:keepNext/>
            </w:pPr>
            <w:r>
              <w:rPr>
                <w:b w:val="0"/>
                <w:i w:val="0"/>
                <w:sz w:val="16"/>
              </w:rPr>
              <w:t>Sembcorp Industries</w:t>
            </w:r>
          </w:p>
        </w:tc>
        <w:tc>
          <w:tcPr>
            <w:tcW w:type="dxa" w:w="1368"/>
            <w:shd w:val="clear" w:color="auto" w:fill="F7F7F5"/>
          </w:tcPr>
          <w:p>
            <w:pPr>
              <w:keepNext/>
              <w:jc w:val="right"/>
            </w:pPr>
            <w:r>
              <w:rPr>
                <w:b w:val="0"/>
                <w:i w:val="0"/>
                <w:sz w:val="16"/>
              </w:rPr>
              <w:t>±2.0%</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86%</w:t>
            </w:r>
          </w:p>
        </w:tc>
        <w:tc>
          <w:tcPr>
            <w:tcW w:type="dxa" w:w="2016"/>
            <w:shd w:val="clear" w:color="auto" w:fill="E4F3E4"/>
          </w:tcPr>
          <w:p>
            <w:pPr>
              <w:keepNext/>
            </w:pPr>
            <w:r>
              <w:rPr>
                <w:b/>
                <w:i w:val="0"/>
                <w:color w:val="0A6E0A"/>
                <w:sz w:val="16"/>
              </w:rPr>
              <w:t>+12 pts ✓</w:t>
            </w:r>
          </w:p>
        </w:tc>
      </w:tr>
      <w:tr>
        <w:tc>
          <w:tcPr>
            <w:tcW w:type="dxa" w:w="2664"/>
          </w:tcPr>
          <w:p>
            <w:r>
              <w:rPr>
                <w:b w:val="0"/>
                <w:i w:val="0"/>
                <w:sz w:val="16"/>
              </w:rPr>
              <w:t>SGX Group</w:t>
            </w:r>
          </w:p>
        </w:tc>
        <w:tc>
          <w:tcPr>
            <w:tcW w:type="dxa" w:w="1368"/>
          </w:tcPr>
          <w:p>
            <w:pPr>
              <w:jc w:val="right"/>
            </w:pPr>
            <w:r>
              <w:rPr>
                <w:b w:val="0"/>
                <w:i w:val="0"/>
                <w:sz w:val="16"/>
              </w:rPr>
              <w:t>±2.7%</w:t>
            </w:r>
          </w:p>
        </w:tc>
        <w:tc>
          <w:tcPr>
            <w:tcW w:type="dxa" w:w="1440"/>
          </w:tcPr>
          <w:p>
            <w:r>
              <w:rPr>
                <w:b w:val="0"/>
                <w:i w:val="0"/>
                <w:sz w:val="16"/>
              </w:rPr>
            </w:r>
          </w:p>
        </w:tc>
        <w:tc>
          <w:tcPr>
            <w:tcW w:type="dxa" w:w="1440"/>
          </w:tcPr>
          <w:p>
            <w:r>
              <w:rPr>
                <w:b w:val="0"/>
                <w:i w:val="0"/>
                <w:color w:val="52514E"/>
                <w:sz w:val="16"/>
              </w:rPr>
              <w:t>No big move</w:t>
            </w:r>
          </w:p>
        </w:tc>
        <w:tc>
          <w:tcPr>
            <w:tcW w:type="dxa" w:w="1008"/>
          </w:tcPr>
          <w:p>
            <w:pPr>
              <w:jc w:val="right"/>
            </w:pPr>
            <w:r>
              <w:rPr>
                <w:b w:val="0"/>
                <w:i w:val="0"/>
                <w:sz w:val="16"/>
              </w:rPr>
              <w:t>84%</w:t>
            </w:r>
          </w:p>
        </w:tc>
        <w:tc>
          <w:tcPr>
            <w:tcW w:type="dxa" w:w="2016"/>
            <w:shd w:val="clear" w:color="auto" w:fill="FBE1E0"/>
          </w:tcPr>
          <w:p>
            <w:r>
              <w:rPr>
                <w:b/>
                <w:i w:val="0"/>
                <w:color w:val="A12D2C"/>
                <w:sz w:val="16"/>
              </w:rPr>
              <w:t>−18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ComfortDelGro, Raffles Medical Group, CapitaLand Integ. Comm. Trust and Keppel Corp: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39% of 240 past calls, against 54% for always guessing 'no big move'. Calls marked ✓ were right 46%, the rest 32%, but the gain is in 'no big move' calls (59% right); ✓ rise-or-fall calls were right only 23% of 44, so a ✓ never makes a direction likely. Before its probabilities were refitted, chances of 90% or more were right only 37%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535 company news articles (each read as positive, negative or neutral by FinBERT, a finance language model) and 72 political articles; price-chart indicators (RSI, MACD, Bollinger bands, VWAP, weekly trend); the market backdrop (VIX 17.1, US yield spread); Singapore ETF options positioning (put/call 2.54).</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(11)</w:t>
            </w:r>
          </w:p>
        </w:tc>
        <w:tc>
          <w:tcPr>
            <w:tcW w:type="dxa" w:w="3312"/>
          </w:tcPr>
          <w:p>
            <w:r>
              <w:rPr>
                <w:b w:val="0"/>
                <w:i w:val="0"/>
                <w:sz w:val="15"/>
              </w:rPr>
              <w:t>OCBC Bank, UOB, Mapletree Pan Asia Comm. Trust, Ascendas REIT, Mapletree Industrial, Keppel Corp, ST Engineering, Sembcorp Industries, Wilmar Intl,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Noise (2)</w:t>
            </w:r>
          </w:p>
        </w:tc>
        <w:tc>
          <w:tcPr>
            <w:tcW w:type="dxa" w:w="3312"/>
            <w:shd w:val="clear" w:color="auto" w:fill="F7F7F5"/>
          </w:tcPr>
          <w:p>
            <w:r>
              <w:rPr>
                <w:b w:val="0"/>
                <w:i w:val="0"/>
                <w:sz w:val="15"/>
              </w:rPr>
              <w:t>CapitaLand Integ. Comm. Trust, SGX Group</w:t>
            </w:r>
          </w:p>
        </w:tc>
        <w:tc>
          <w:tcPr>
            <w:tcW w:type="dxa" w:w="4824"/>
            <w:shd w:val="clear" w:color="auto" w:fill="F7F7F5"/>
          </w:tcPr>
          <w:p>
            <w:r>
              <w:rPr>
                <w:b w:val="0"/>
                <w:i w:val="0"/>
                <w:sz w:val="15"/>
              </w:rPr>
              <w:t>price went against the signals; the model has no clear view</w:t>
            </w:r>
          </w:p>
        </w:tc>
      </w:tr>
      <w:tr>
        <w:tc>
          <w:tcPr>
            <w:tcW w:type="dxa" w:w="1800"/>
          </w:tcPr>
          <w:p>
            <w:r>
              <w:rPr>
                <w:b/>
                <w:i w:val="0"/>
                <w:sz w:val="15"/>
              </w:rPr>
              <w:t>Contradicted (1)</w:t>
            </w:r>
          </w:p>
        </w:tc>
        <w:tc>
          <w:tcPr>
            <w:tcW w:type="dxa" w:w="3312"/>
          </w:tcPr>
          <w:p>
            <w:r>
              <w:rPr>
                <w:b w:val="0"/>
                <w:i w:val="0"/>
                <w:sz w:val="15"/>
              </w:rPr>
              <w:t>DBS Group</w:t>
            </w:r>
          </w:p>
        </w:tc>
        <w:tc>
          <w:tcPr>
            <w:tcW w:type="dxa" w:w="4824"/>
          </w:tcPr>
          <w:p>
            <w:r>
              <w:rPr>
                <w:b w:val="0"/>
                <w:i w:val="0"/>
                <w:sz w:val="15"/>
              </w:rPr>
              <w:t>price went against the signals and the model agrees with the price</w:t>
            </w:r>
          </w:p>
        </w:tc>
      </w:tr>
      <w:tr>
        <w:tc>
          <w:tcPr>
            <w:tcW w:type="dxa" w:w="1800"/>
            <w:shd w:val="clear" w:color="auto" w:fill="F7F7F5"/>
          </w:tcPr>
          <w:p>
            <w:r>
              <w:rPr>
                <w:b/>
                <w:i w:val="0"/>
                <w:sz w:val="15"/>
              </w:rPr>
              <w:t>Model-only view (1)</w:t>
            </w:r>
          </w:p>
        </w:tc>
        <w:tc>
          <w:tcPr>
            <w:tcW w:type="dxa" w:w="3312"/>
            <w:shd w:val="clear" w:color="auto" w:fill="F7F7F5"/>
          </w:tcPr>
          <w:p>
            <w:r>
              <w:rPr>
                <w:b w:val="0"/>
                <w:i w:val="0"/>
                <w:sz w:val="15"/>
              </w:rPr>
              <w:t>Singtel</w:t>
            </w:r>
          </w:p>
        </w:tc>
        <w:tc>
          <w:tcPr>
            <w:tcW w:type="dxa" w:w="4824"/>
            <w:shd w:val="clear" w:color="auto" w:fill="F7F7F5"/>
          </w:tcPr>
          <w:p>
            <w:r>
              <w:rPr>
                <w:b w:val="0"/>
                <w:i w:val="0"/>
                <w:sz w:val="15"/>
              </w:rPr>
              <w:t>signals flat, but the model has a view</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14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39% of 240 vs 54%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37% of the time (101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46%, others 32%; the gain is in 'no big move' calls (59%). ✓ rise-or-fall calls: 23% of 44.</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15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