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90" w:type="dxa"/>
          <w:bottom w:w="90" w:type="dxa"/>
          <w:left w:w="140" w:type="dxa"/>
          <w:right w:w="140" w:type="dxa"/>
        </w:tblCellMar>
      </w:tblPr>
      <w:tblGrid>
        <w:gridCol w:w="5760"/>
        <w:gridCol w:w="4176"/>
      </w:tblGrid>
      <w:tr>
        <w:tc>
          <w:tcPr>
            <w:tcW w:type="dxa" w:w="5760"/>
            <w:shd w:val="clear" w:color="auto" w:fill="1A2E55"/>
          </w:tcPr>
          <w:p>
            <w:r>
              <w:rPr>
                <w:b/>
                <w:i w:val="0"/>
                <w:color w:val="FFFFFF"/>
                <w:sz w:val="38"/>
              </w:rPr>
              <w:t>SGX Daily Signal Report</w:t>
            </w:r>
          </w:p>
          <w:p>
            <w:r>
              <w:rPr>
                <w:b w:val="0"/>
                <w:i w:val="0"/>
                <w:color w:val="CDE2FB"/>
                <w:sz w:val="19"/>
              </w:rPr>
              <w:t>Thursday 17 September 2026  ·  data to the close</w:t>
            </w:r>
          </w:p>
        </w:tc>
        <w:tc>
          <w:tcPr>
            <w:tcW w:type="dxa" w:w="4176"/>
            <w:shd w:val="clear" w:color="auto" w:fill="1A2E55"/>
          </w:tcPr>
          <w:p>
            <w:pPr>
              <w:jc w:val="right"/>
            </w:pPr>
            <w:r>
              <w:rPr>
                <w:b/>
                <w:i w:val="0"/>
                <w:color w:val="FFFFFF"/>
                <w:sz w:val="17"/>
              </w:rPr>
              <w:t>15 SGX stocks  ·  7 sectors</w:t>
            </w:r>
          </w:p>
          <w:p>
            <w:pPr>
              <w:jc w:val="right"/>
            </w:pPr>
            <w:r>
              <w:rPr>
                <w:b w:val="0"/>
                <w:i w:val="0"/>
                <w:color w:val="CDE2FB"/>
                <w:sz w:val="17"/>
              </w:rPr>
              <w:t>Last 5 trading days: 11–17 Sep</w:t>
            </w:r>
          </w:p>
          <w:p>
            <w:pPr>
              <w:jc w:val="right"/>
            </w:pPr>
            <w:r>
              <w:rPr>
                <w:b w:val="0"/>
                <w:i w:val="0"/>
                <w:color w:val="CDE2FB"/>
                <w:sz w:val="17"/>
              </w:rPr>
              <w:t>Sections: 1 today · 2 news &amp; last 5 days · 3 next 3 days · 4 system · 5 findings</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1 · Today in 30 seconds</w:t>
      </w:r>
    </w:p>
    <w:p>
      <w:pPr>
        <w:pStyle w:val="ListBullet"/>
        <w:spacing w:after="40"/>
      </w:pPr>
      <w:r>
        <w:rPr>
          <w:b w:val="0"/>
          <w:i w:val="0"/>
          <w:sz w:val="19"/>
        </w:rPr>
        <w:t>Today the 15 stocks moved +0.3% on average (10 up, 3 down); over 11–17 Sep they moved -1.2%. Weakest: Financial Services (-9.8%), Telecommunications (-2.2%) and Industrials (-2.2%); strongest: Healthcare (+1.8%) and Banking (+0.7%).</w:t>
      </w:r>
    </w:p>
    <w:p>
      <w:pPr>
        <w:pStyle w:val="ListBullet"/>
        <w:spacing w:after="40"/>
      </w:pPr>
      <w:r>
        <w:rPr>
          <w:b w:val="0"/>
          <w:i w:val="0"/>
          <w:sz w:val="19"/>
        </w:rPr>
        <w:t>Biggest movers over 11–17 Sep: SGX Group (-9.8%), Keppel Corp (-3.1%) and Sembcorp Industries (-2.8%). Sembcorp Industries moved without a company news story; the move looks sector-wide. For SGX Group and Keppel Corp, the company news and the price disagree. See section 2.</w:t>
      </w:r>
    </w:p>
    <w:p>
      <w:pPr>
        <w:pStyle w:val="ListBullet"/>
        <w:spacing w:after="40"/>
      </w:pPr>
      <w:r>
        <w:rPr>
          <w:b w:val="0"/>
          <w:i w:val="0"/>
          <w:sz w:val="19"/>
        </w:rPr>
        <w:t>The market backdrop is normal (VIX 16.0), but Singapore ETF options lean defensive (put/call 1.98): more traders are buying protection against a fall.</w:t>
      </w:r>
    </w:p>
    <w:p>
      <w:pPr>
        <w:pStyle w:val="ListBullet"/>
        <w:spacing w:after="40"/>
      </w:pPr>
      <w:r>
        <w:rPr>
          <w:b w:val="0"/>
          <w:i w:val="0"/>
          <w:sz w:val="19"/>
        </w:rPr>
        <w:t>Today's news added a positive signal for SGX Group (not yet in the price) and DBS Group (not yet in the price). See section 2.</w:t>
      </w:r>
    </w:p>
    <w:p>
      <w:pPr>
        <w:pStyle w:val="ListBullet"/>
        <w:spacing w:after="40"/>
      </w:pPr>
      <w:r>
        <w:rPr>
          <w:b w:val="0"/>
          <w:i w:val="0"/>
          <w:sz w:val="19"/>
        </w:rPr>
        <w:t>The forecast model leans towards a rise for OCBC Bank and UOB; a fall for four stocks and no big move for the rest (only ST Engineering with a ✓ record); normal 3-day swings run from ±1.0% (Mapletree Industrial) to ±2.7% (SGX Group), so a bigger move than a stock's own swing would be unusual. See section 3.</w:t>
      </w:r>
    </w:p>
    <w:p>
      <w:pPr>
        <w:pStyle w:val="ListBullet"/>
        <w:spacing w:after="40"/>
      </w:pPr>
      <w:r>
        <w:rPr>
          <w:b w:val="0"/>
          <w:i w:val="0"/>
          <w:sz w:val="19"/>
        </w:rPr>
        <w:t>No stock is flagged ⚑ today. The moves in Sembcorp Industries came without company news, so sector or market news is the place to check before reacting. If you prefer less day-to-day movement, Mapletree Industrial, Raffles Medical Group, ComfortDelGro, Keppel Corp and CapitaLand Integ. Comm. Trust have the highest chance of no big move.</w:t>
      </w:r>
    </w:p>
    <w:p>
      <w:pPr>
        <w:spacing w:after="40"/>
      </w:pPr>
      <w:r>
        <w:rPr>
          <w:b w:val="0"/>
          <w:i w:val="0"/>
          <w:color w:val="52514E"/>
          <w:sz w:val="14"/>
        </w:rPr>
        <w:t>Drafted by code from the day's data and analysis; the AI writer (openai/gpt-oss-20b, the same model that writes the news summaries) checked it and kept the wording; every number was filled in by code and the text passed the report's checks.</w:t>
      </w:r>
    </w:p>
    <w:p>
      <w:pPr>
        <w:spacing w:after="40"/>
      </w:pPr>
      <w:r>
        <w:rPr>
          <w:b w:val="0"/>
          <w:i w:val="0"/>
          <w:color w:val="1A2E55"/>
          <w:sz w:val="16"/>
        </w:rPr>
        <w:t>Which parts can you rely on? Each kind of statement was tested on past data (results in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80" w:type="dxa"/>
          <w:right w:w="80" w:type="dxa"/>
        </w:tblCellMar>
      </w:tblPr>
      <w:tblGrid>
        <w:gridCol w:w="1987"/>
        <w:gridCol w:w="1987"/>
        <w:gridCol w:w="1987"/>
        <w:gridCol w:w="1987"/>
        <w:gridCol w:w="1987"/>
      </w:tblGrid>
      <w:tr>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Prices and changes: fact (sections 1-2)</w:t>
            </w:r>
          </w:p>
        </w:tc>
        <w:tc>
          <w:tcPr>
            <w:tcW w:type="dxa" w:w="1987"/>
            <w:shd w:val="clear" w:color="auto" w:fill="EFEEEA"/>
            <w:tcBorders>
              <w:left w:val="single" w:sz="6" w:color="FFFFFF"/>
              <w:right w:val="single" w:sz="6" w:color="FFFFFF"/>
            </w:tcBorders>
          </w:tcPr>
          <w:p>
            <w:r>
              <w:rPr>
                <w:b/>
                <w:i w:val="0"/>
                <w:color w:val="52514E"/>
                <w:sz w:val="16"/>
              </w:rPr>
              <w:t xml:space="preserve">○  </w:t>
            </w:r>
            <w:r>
              <w:rPr>
                <w:b w:val="0"/>
                <w:i w:val="0"/>
                <w:color w:val="52514E"/>
                <w:sz w:val="14"/>
              </w:rPr>
              <w:t>News &amp; signals: describe today, not a forecast (sections 1-2)</w:t>
            </w:r>
          </w:p>
        </w:tc>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Normal 3-day swing: reliable, held 74 times in 100 (section 3)</w:t>
            </w:r>
          </w:p>
        </w:tc>
        <w:tc>
          <w:tcPr>
            <w:tcW w:type="dxa" w:w="1987"/>
            <w:shd w:val="clear" w:color="auto" w:fill="FFF1D1"/>
            <w:tcBorders>
              <w:left w:val="single" w:sz="6" w:color="FFFFFF"/>
              <w:right w:val="single" w:sz="6" w:color="FFFFFF"/>
            </w:tcBorders>
          </w:tcPr>
          <w:p>
            <w:r>
              <w:rPr>
                <w:b/>
                <w:i w:val="0"/>
                <w:color w:val="8A5A00"/>
                <w:sz w:val="16"/>
              </w:rPr>
              <w:t xml:space="preserve">!  </w:t>
            </w:r>
            <w:r>
              <w:rPr>
                <w:b w:val="0"/>
                <w:i w:val="0"/>
                <w:color w:val="8A5A00"/>
                <w:sz w:val="14"/>
              </w:rPr>
              <w:t>Calmer than most: promising, still being confirmed (section 3)</w:t>
            </w:r>
          </w:p>
        </w:tc>
        <w:tc>
          <w:tcPr>
            <w:tcW w:type="dxa" w:w="1987"/>
            <w:shd w:val="clear" w:color="auto" w:fill="FBE1E0"/>
            <w:tcBorders>
              <w:left w:val="single" w:sz="6" w:color="FFFFFF"/>
              <w:right w:val="single" w:sz="6" w:color="FFFFFF"/>
            </w:tcBorders>
          </w:tcPr>
          <w:p>
            <w:r>
              <w:rPr>
                <w:b/>
                <w:i w:val="0"/>
                <w:color w:val="A12D2C"/>
                <w:sz w:val="16"/>
              </w:rPr>
              <w:t xml:space="preserve">✗  </w:t>
            </w:r>
            <w:r>
              <w:rPr>
                <w:b w:val="0"/>
                <w:i w:val="0"/>
                <w:color w:val="A12D2C"/>
                <w:sz w:val="14"/>
              </w:rPr>
              <w:t>Up-or-down lean: not reliable, even with ✓ (section 3)</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All 15 stocks today</w:t>
      </w:r>
    </w:p>
    <w:p>
      <w:pPr>
        <w:spacing w:after="40"/>
      </w:pPr>
      <w:r>
        <w:rPr>
          <w:b w:val="0"/>
          <w:i w:val="0"/>
          <w:color w:val="52514E"/>
          <w:sz w:val="17"/>
        </w:rPr>
        <w:t>Ranked by today's news-and-signals reading, most positive first. Market-wide today: Singapore ETF options lean negative; this applies to all 15 and is not repeated below.</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2" w:type="dxa"/>
          <w:bottom w:w="22" w:type="dxa"/>
          <w:left w:w="60" w:type="dxa"/>
          <w:right w:w="60" w:type="dxa"/>
        </w:tblCellMar>
      </w:tblPr>
      <w:tblGrid>
        <w:gridCol w:w="360"/>
        <w:gridCol w:w="2189"/>
        <w:gridCol w:w="662"/>
        <w:gridCol w:w="792"/>
        <w:gridCol w:w="1037"/>
        <w:gridCol w:w="1382"/>
        <w:gridCol w:w="1872"/>
        <w:gridCol w:w="1642"/>
      </w:tblGrid>
      <w:tr>
        <w:tc>
          <w:tcPr>
            <w:tcW w:type="dxa" w:w="360"/>
            <w:shd w:val="clear" w:color="auto" w:fill="1A2E55"/>
          </w:tcPr>
          <w:p>
            <w:r>
              <w:rPr>
                <w:b/>
                <w:i w:val="0"/>
                <w:color w:val="FFFFFF"/>
                <w:sz w:val="14"/>
              </w:rPr>
              <w:t>#</w:t>
            </w:r>
          </w:p>
        </w:tc>
        <w:tc>
          <w:tcPr>
            <w:tcW w:type="dxa" w:w="2189"/>
            <w:shd w:val="clear" w:color="auto" w:fill="1A2E55"/>
          </w:tcPr>
          <w:p>
            <w:r>
              <w:rPr>
                <w:b/>
                <w:i w:val="0"/>
                <w:color w:val="FFFFFF"/>
                <w:sz w:val="14"/>
              </w:rPr>
              <w:t>Stock</w:t>
            </w:r>
          </w:p>
        </w:tc>
        <w:tc>
          <w:tcPr>
            <w:tcW w:type="dxa" w:w="662"/>
            <w:shd w:val="clear" w:color="auto" w:fill="1A2E55"/>
          </w:tcPr>
          <w:p>
            <w:pPr>
              <w:jc w:val="right"/>
            </w:pPr>
            <w:r>
              <w:rPr>
                <w:b/>
                <w:i w:val="0"/>
                <w:color w:val="FFFFFF"/>
                <w:sz w:val="14"/>
              </w:rPr>
              <w:t>Today</w:t>
            </w:r>
          </w:p>
        </w:tc>
        <w:tc>
          <w:tcPr>
            <w:tcW w:type="dxa" w:w="792"/>
            <w:shd w:val="clear" w:color="auto" w:fill="1A2E55"/>
          </w:tcPr>
          <w:p>
            <w:pPr>
              <w:jc w:val="right"/>
            </w:pPr>
            <w:r>
              <w:rPr>
                <w:b/>
                <w:i w:val="0"/>
                <w:color w:val="FFFFFF"/>
                <w:sz w:val="14"/>
              </w:rPr>
              <w:t>11–17 Sep</w:t>
            </w:r>
          </w:p>
        </w:tc>
        <w:tc>
          <w:tcPr>
            <w:tcW w:type="dxa" w:w="1037"/>
            <w:shd w:val="clear" w:color="auto" w:fill="1A2E55"/>
          </w:tcPr>
          <w:p>
            <w:r>
              <w:rPr>
                <w:b/>
                <w:i w:val="0"/>
                <w:color w:val="FFFFFF"/>
                <w:sz w:val="14"/>
              </w:rPr>
              <w:t>News &amp; signals</w:t>
            </w:r>
          </w:p>
        </w:tc>
        <w:tc>
          <w:tcPr>
            <w:tcW w:type="dxa" w:w="1382"/>
            <w:shd w:val="clear" w:color="auto" w:fill="1A2E55"/>
          </w:tcPr>
          <w:p>
            <w:r>
              <w:rPr>
                <w:b/>
                <w:i w:val="0"/>
                <w:color w:val="FFFFFF"/>
                <w:sz w:val="14"/>
              </w:rPr>
              <w:t>News today</w:t>
            </w:r>
          </w:p>
        </w:tc>
        <w:tc>
          <w:tcPr>
            <w:tcW w:type="dxa" w:w="1872"/>
            <w:shd w:val="clear" w:color="auto" w:fill="1A2E55"/>
          </w:tcPr>
          <w:p>
            <w:r>
              <w:rPr>
                <w:b/>
                <w:i w:val="0"/>
                <w:color w:val="FFFFFF"/>
                <w:sz w:val="14"/>
              </w:rPr>
              <w:t>Price chart</w:t>
            </w:r>
          </w:p>
        </w:tc>
        <w:tc>
          <w:tcPr>
            <w:tcW w:type="dxa" w:w="1642"/>
            <w:shd w:val="clear" w:color="auto" w:fill="1A2E55"/>
          </w:tcPr>
          <w:p>
            <w:r>
              <w:rPr>
                <w:b/>
                <w:i w:val="0"/>
                <w:color w:val="FFFFFF"/>
                <w:sz w:val="14"/>
              </w:rPr>
              <w:t>Price vs news</w:t>
            </w:r>
          </w:p>
        </w:tc>
      </w:tr>
      <w:tr>
        <w:tc>
          <w:tcPr>
            <w:tcW w:type="dxa" w:w="360"/>
          </w:tcPr>
          <w:p>
            <w:r>
              <w:rPr>
                <w:b w:val="0"/>
                <w:i w:val="0"/>
                <w:sz w:val="15"/>
              </w:rPr>
              <w:t>1</w:t>
            </w:r>
          </w:p>
        </w:tc>
        <w:tc>
          <w:tcPr>
            <w:tcW w:type="dxa" w:w="2189"/>
          </w:tcPr>
          <w:p>
            <w:r>
              <w:rPr>
                <w:b w:val="0"/>
                <w:i w:val="0"/>
                <w:sz w:val="15"/>
              </w:rPr>
              <w:t>SGX Group ★</w:t>
            </w:r>
          </w:p>
        </w:tc>
        <w:tc>
          <w:tcPr>
            <w:tcW w:type="dxa" w:w="662"/>
          </w:tcPr>
          <w:p>
            <w:pPr>
              <w:jc w:val="right"/>
            </w:pPr>
            <w:r>
              <w:rPr>
                <w:b w:val="0"/>
                <w:i w:val="0"/>
                <w:color w:val="A12D2C"/>
                <w:sz w:val="15"/>
              </w:rPr>
              <w:t>-0.5%</w:t>
            </w:r>
          </w:p>
        </w:tc>
        <w:tc>
          <w:tcPr>
            <w:tcW w:type="dxa" w:w="792"/>
          </w:tcPr>
          <w:p>
            <w:pPr>
              <w:jc w:val="right"/>
            </w:pPr>
            <w:r>
              <w:rPr>
                <w:b w:val="0"/>
                <w:i w:val="0"/>
                <w:color w:val="A12D2C"/>
                <w:sz w:val="15"/>
              </w:rPr>
              <w:t>-9.8%</w:t>
            </w:r>
          </w:p>
        </w:tc>
        <w:tc>
          <w:tcPr>
            <w:tcW w:type="dxa" w:w="1037"/>
            <w:shd w:val="clear" w:color="auto" w:fill="DCEAFB"/>
          </w:tcPr>
          <w:p>
            <w:r>
              <w:rPr>
                <w:b/>
                <w:i w:val="0"/>
                <w:color w:val="1C5CAB"/>
                <w:sz w:val="15"/>
              </w:rPr>
              <w:t>Positive</w:t>
            </w:r>
          </w:p>
        </w:tc>
        <w:tc>
          <w:tcPr>
            <w:tcW w:type="dxa" w:w="1382"/>
          </w:tcPr>
          <w:p>
            <w:r>
              <w:rPr>
                <w:b w:val="0"/>
                <w:i w:val="0"/>
                <w:sz w:val="15"/>
              </w:rPr>
              <w:t>Mostly positive (50)</w:t>
            </w:r>
          </w:p>
        </w:tc>
        <w:tc>
          <w:tcPr>
            <w:tcW w:type="dxa" w:w="1872"/>
          </w:tcPr>
          <w:p>
            <w:r>
              <w:rPr>
                <w:b w:val="0"/>
                <w:i w:val="0"/>
                <w:sz w:val="15"/>
              </w:rPr>
              <w:t>Oversold · Below range</w:t>
            </w:r>
          </w:p>
        </w:tc>
        <w:tc>
          <w:tcPr>
            <w:tcW w:type="dxa" w:w="1642"/>
          </w:tcPr>
          <w:p>
            <w:r>
              <w:rPr>
                <w:b w:val="0"/>
                <w:i w:val="0"/>
                <w:sz w:val="15"/>
              </w:rPr>
              <w:t>Not yet in the price</w:t>
            </w:r>
          </w:p>
        </w:tc>
      </w:tr>
      <w:tr>
        <w:tc>
          <w:tcPr>
            <w:tcW w:type="dxa" w:w="360"/>
            <w:shd w:val="clear" w:color="auto" w:fill="F7F7F5"/>
          </w:tcPr>
          <w:p>
            <w:r>
              <w:rPr>
                <w:b w:val="0"/>
                <w:i w:val="0"/>
                <w:sz w:val="15"/>
              </w:rPr>
              <w:t>2</w:t>
            </w:r>
          </w:p>
        </w:tc>
        <w:tc>
          <w:tcPr>
            <w:tcW w:type="dxa" w:w="2189"/>
            <w:shd w:val="clear" w:color="auto" w:fill="F7F7F5"/>
          </w:tcPr>
          <w:p>
            <w:r>
              <w:rPr>
                <w:b w:val="0"/>
                <w:i w:val="0"/>
                <w:sz w:val="15"/>
              </w:rPr>
              <w:t>DBS Group ★</w:t>
            </w:r>
          </w:p>
        </w:tc>
        <w:tc>
          <w:tcPr>
            <w:tcW w:type="dxa" w:w="662"/>
            <w:shd w:val="clear" w:color="auto" w:fill="F7F7F5"/>
          </w:tcPr>
          <w:p>
            <w:pPr>
              <w:jc w:val="right"/>
            </w:pPr>
            <w:r>
              <w:rPr>
                <w:b w:val="0"/>
                <w:i w:val="0"/>
                <w:color w:val="52514E"/>
                <w:sz w:val="15"/>
              </w:rPr>
              <w:t>+0.2%</w:t>
            </w:r>
          </w:p>
        </w:tc>
        <w:tc>
          <w:tcPr>
            <w:tcW w:type="dxa" w:w="792"/>
            <w:shd w:val="clear" w:color="auto" w:fill="F7F7F5"/>
          </w:tcPr>
          <w:p>
            <w:pPr>
              <w:jc w:val="right"/>
            </w:pPr>
            <w:r>
              <w:rPr>
                <w:b w:val="0"/>
                <w:i w:val="0"/>
                <w:color w:val="52514E"/>
                <w:sz w:val="15"/>
              </w:rPr>
              <w:t>+0.2%</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(50)</w:t>
            </w:r>
          </w:p>
        </w:tc>
        <w:tc>
          <w:tcPr>
            <w:tcW w:type="dxa" w:w="1872"/>
            <w:shd w:val="clear" w:color="auto" w:fill="F7F7F5"/>
          </w:tcPr>
          <w:p>
            <w:r>
              <w:rPr>
                <w:b w:val="0"/>
                <w:i w:val="0"/>
                <w:sz w:val="15"/>
              </w:rPr>
              <w:t>Weekly up · Above avg price</w:t>
            </w:r>
          </w:p>
        </w:tc>
        <w:tc>
          <w:tcPr>
            <w:tcW w:type="dxa" w:w="1642"/>
            <w:shd w:val="clear" w:color="auto" w:fill="F7F7F5"/>
          </w:tcPr>
          <w:p>
            <w:r>
              <w:rPr>
                <w:b w:val="0"/>
                <w:i w:val="0"/>
                <w:sz w:val="15"/>
              </w:rPr>
              <w:t>Not yet in the price</w:t>
            </w:r>
          </w:p>
        </w:tc>
      </w:tr>
      <w:tr>
        <w:tc>
          <w:tcPr>
            <w:tcW w:type="dxa" w:w="360"/>
          </w:tcPr>
          <w:p>
            <w:r>
              <w:rPr>
                <w:b w:val="0"/>
                <w:i w:val="0"/>
                <w:sz w:val="15"/>
              </w:rPr>
              <w:t>3</w:t>
            </w:r>
          </w:p>
        </w:tc>
        <w:tc>
          <w:tcPr>
            <w:tcW w:type="dxa" w:w="2189"/>
          </w:tcPr>
          <w:p>
            <w:r>
              <w:rPr>
                <w:b w:val="0"/>
                <w:i w:val="0"/>
                <w:sz w:val="15"/>
              </w:rPr>
              <w:t>ST Engineering ★</w:t>
            </w:r>
          </w:p>
        </w:tc>
        <w:tc>
          <w:tcPr>
            <w:tcW w:type="dxa" w:w="662"/>
          </w:tcPr>
          <w:p>
            <w:pPr>
              <w:jc w:val="right"/>
            </w:pPr>
            <w:r>
              <w:rPr>
                <w:b w:val="0"/>
                <w:i w:val="0"/>
                <w:color w:val="1C5CAB"/>
                <w:sz w:val="15"/>
              </w:rPr>
              <w:t>+0.8%</w:t>
            </w:r>
          </w:p>
        </w:tc>
        <w:tc>
          <w:tcPr>
            <w:tcW w:type="dxa" w:w="792"/>
          </w:tcPr>
          <w:p>
            <w:pPr>
              <w:jc w:val="right"/>
            </w:pPr>
            <w:r>
              <w:rPr>
                <w:b w:val="0"/>
                <w:i w:val="0"/>
                <w:color w:val="A12D2C"/>
                <w:sz w:val="15"/>
              </w:rPr>
              <w:t>-0.8%</w:t>
            </w:r>
          </w:p>
        </w:tc>
        <w:tc>
          <w:tcPr>
            <w:tcW w:type="dxa" w:w="1037"/>
            <w:shd w:val="clear" w:color="auto" w:fill="EFEEEA"/>
          </w:tcPr>
          <w:p>
            <w:r>
              <w:rPr>
                <w:b/>
                <w:i w:val="0"/>
                <w:color w:val="52514E"/>
                <w:sz w:val="15"/>
              </w:rPr>
              <w:t>Neutral</w:t>
            </w:r>
          </w:p>
        </w:tc>
        <w:tc>
          <w:tcPr>
            <w:tcW w:type="dxa" w:w="1382"/>
          </w:tcPr>
          <w:p>
            <w:r>
              <w:rPr>
                <w:b w:val="0"/>
                <w:i w:val="0"/>
                <w:sz w:val="15"/>
              </w:rPr>
              <w:t>Mostly positive (47)</w:t>
            </w:r>
          </w:p>
        </w:tc>
        <w:tc>
          <w:tcPr>
            <w:tcW w:type="dxa" w:w="1872"/>
          </w:tcPr>
          <w:p>
            <w:r>
              <w:rPr>
                <w:b w:val="0"/>
                <w:i w:val="0"/>
                <w:sz w:val="15"/>
              </w:rPr>
              <w:t>—</w:t>
            </w:r>
          </w:p>
        </w:tc>
        <w:tc>
          <w:tcPr>
            <w:tcW w:type="dxa" w:w="1642"/>
          </w:tcPr>
          <w:p>
            <w:r>
              <w:rPr>
                <w:b w:val="0"/>
                <w:i w:val="0"/>
                <w:sz w:val="15"/>
              </w:rPr>
              <w:t>Moved without a signal</w:t>
            </w:r>
          </w:p>
        </w:tc>
      </w:tr>
      <w:tr>
        <w:tc>
          <w:tcPr>
            <w:tcW w:type="dxa" w:w="360"/>
            <w:shd w:val="clear" w:color="auto" w:fill="F7F7F5"/>
          </w:tcPr>
          <w:p>
            <w:r>
              <w:rPr>
                <w:b w:val="0"/>
                <w:i w:val="0"/>
                <w:sz w:val="15"/>
              </w:rPr>
              <w:t>4</w:t>
            </w:r>
          </w:p>
        </w:tc>
        <w:tc>
          <w:tcPr>
            <w:tcW w:type="dxa" w:w="2189"/>
            <w:shd w:val="clear" w:color="auto" w:fill="F7F7F5"/>
          </w:tcPr>
          <w:p>
            <w:r>
              <w:rPr>
                <w:b w:val="0"/>
                <w:i w:val="0"/>
                <w:sz w:val="15"/>
              </w:rPr>
              <w:t>CapitaLand Integ. Comm. Trust ★</w:t>
            </w:r>
          </w:p>
        </w:tc>
        <w:tc>
          <w:tcPr>
            <w:tcW w:type="dxa" w:w="662"/>
            <w:shd w:val="clear" w:color="auto" w:fill="F7F7F5"/>
          </w:tcPr>
          <w:p>
            <w:pPr>
              <w:jc w:val="right"/>
            </w:pPr>
            <w:r>
              <w:rPr>
                <w:b w:val="0"/>
                <w:i w:val="0"/>
                <w:color w:val="1C5CAB"/>
                <w:sz w:val="15"/>
              </w:rPr>
              <w:t>+0.9%</w:t>
            </w:r>
          </w:p>
        </w:tc>
        <w:tc>
          <w:tcPr>
            <w:tcW w:type="dxa" w:w="792"/>
            <w:shd w:val="clear" w:color="auto" w:fill="F7F7F5"/>
          </w:tcPr>
          <w:p>
            <w:pPr>
              <w:jc w:val="right"/>
            </w:pPr>
            <w:r>
              <w:rPr>
                <w:b w:val="0"/>
                <w:i w:val="0"/>
                <w:color w:val="52514E"/>
                <w:sz w:val="15"/>
              </w:rPr>
              <w:t>+0.0%</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Mostly positive (29)</w:t>
            </w:r>
          </w:p>
        </w:tc>
        <w:tc>
          <w:tcPr>
            <w:tcW w:type="dxa" w:w="1872"/>
            <w:shd w:val="clear" w:color="auto" w:fill="F7F7F5"/>
          </w:tcPr>
          <w:p>
            <w:r>
              <w:rPr>
                <w:b w:val="0"/>
                <w:i w:val="0"/>
                <w:sz w:val="15"/>
              </w:rPr>
              <w:t>—</w:t>
            </w:r>
          </w:p>
        </w:tc>
        <w:tc>
          <w:tcPr>
            <w:tcW w:type="dxa" w:w="1642"/>
            <w:shd w:val="clear" w:color="auto" w:fill="F7F7F5"/>
          </w:tcPr>
          <w:p>
            <w:r>
              <w:rPr>
                <w:b w:val="0"/>
                <w:i w:val="0"/>
                <w:sz w:val="15"/>
              </w:rPr>
              <w:t>Moved without a signal</w:t>
            </w:r>
          </w:p>
        </w:tc>
      </w:tr>
      <w:tr>
        <w:tc>
          <w:tcPr>
            <w:tcW w:type="dxa" w:w="360"/>
          </w:tcPr>
          <w:p>
            <w:r>
              <w:rPr>
                <w:b w:val="0"/>
                <w:i w:val="0"/>
                <w:sz w:val="15"/>
              </w:rPr>
              <w:t>5</w:t>
            </w:r>
          </w:p>
        </w:tc>
        <w:tc>
          <w:tcPr>
            <w:tcW w:type="dxa" w:w="2189"/>
          </w:tcPr>
          <w:p>
            <w:r>
              <w:rPr>
                <w:b w:val="0"/>
                <w:i w:val="0"/>
                <w:sz w:val="15"/>
              </w:rPr>
              <w:t>OCBC Bank ★</w:t>
            </w:r>
          </w:p>
        </w:tc>
        <w:tc>
          <w:tcPr>
            <w:tcW w:type="dxa" w:w="662"/>
          </w:tcPr>
          <w:p>
            <w:pPr>
              <w:jc w:val="right"/>
            </w:pPr>
            <w:r>
              <w:rPr>
                <w:b w:val="0"/>
                <w:i w:val="0"/>
                <w:color w:val="1C5CAB"/>
                <w:sz w:val="15"/>
              </w:rPr>
              <w:t>+0.3%</w:t>
            </w:r>
          </w:p>
        </w:tc>
        <w:tc>
          <w:tcPr>
            <w:tcW w:type="dxa" w:w="792"/>
          </w:tcPr>
          <w:p>
            <w:pPr>
              <w:jc w:val="right"/>
            </w:pPr>
            <w:r>
              <w:rPr>
                <w:b w:val="0"/>
                <w:i w:val="0"/>
                <w:color w:val="A12D2C"/>
                <w:sz w:val="15"/>
              </w:rPr>
              <w:t>-0.4%</w:t>
            </w:r>
          </w:p>
        </w:tc>
        <w:tc>
          <w:tcPr>
            <w:tcW w:type="dxa" w:w="1037"/>
            <w:shd w:val="clear" w:color="auto" w:fill="EFEEEA"/>
          </w:tcPr>
          <w:p>
            <w:r>
              <w:rPr>
                <w:b/>
                <w:i w:val="0"/>
                <w:color w:val="52514E"/>
                <w:sz w:val="15"/>
              </w:rPr>
              <w:t>Neutral</w:t>
            </w:r>
          </w:p>
        </w:tc>
        <w:tc>
          <w:tcPr>
            <w:tcW w:type="dxa" w:w="1382"/>
          </w:tcPr>
          <w:p>
            <w:r>
              <w:rPr>
                <w:b w:val="0"/>
                <w:i w:val="0"/>
                <w:sz w:val="15"/>
              </w:rPr>
              <w:t>Mixed (50)</w:t>
            </w:r>
          </w:p>
        </w:tc>
        <w:tc>
          <w:tcPr>
            <w:tcW w:type="dxa" w:w="1872"/>
          </w:tcPr>
          <w:p>
            <w:r>
              <w:rPr>
                <w:b w:val="0"/>
                <w:i w:val="0"/>
                <w:sz w:val="15"/>
              </w:rPr>
              <w:t>Weekly up · Above avg price</w:t>
            </w:r>
          </w:p>
        </w:tc>
        <w:tc>
          <w:tcPr>
            <w:tcW w:type="dxa" w:w="1642"/>
          </w:tcPr>
          <w:p>
            <w:r>
              <w:rPr>
                <w:b w:val="0"/>
                <w:i w:val="0"/>
                <w:sz w:val="15"/>
              </w:rPr>
              <w:t>No signal, little move</w:t>
            </w:r>
          </w:p>
        </w:tc>
      </w:tr>
      <w:tr>
        <w:tc>
          <w:tcPr>
            <w:tcW w:type="dxa" w:w="360"/>
            <w:shd w:val="clear" w:color="auto" w:fill="F7F7F5"/>
          </w:tcPr>
          <w:p>
            <w:r>
              <w:rPr>
                <w:b w:val="0"/>
                <w:i w:val="0"/>
                <w:sz w:val="15"/>
              </w:rPr>
              <w:t>6</w:t>
            </w:r>
          </w:p>
        </w:tc>
        <w:tc>
          <w:tcPr>
            <w:tcW w:type="dxa" w:w="2189"/>
            <w:shd w:val="clear" w:color="auto" w:fill="F7F7F5"/>
          </w:tcPr>
          <w:p>
            <w:r>
              <w:rPr>
                <w:b w:val="0"/>
                <w:i w:val="0"/>
                <w:sz w:val="15"/>
              </w:rPr>
              <w:t>UOB ★</w:t>
            </w:r>
          </w:p>
        </w:tc>
        <w:tc>
          <w:tcPr>
            <w:tcW w:type="dxa" w:w="662"/>
            <w:shd w:val="clear" w:color="auto" w:fill="F7F7F5"/>
          </w:tcPr>
          <w:p>
            <w:pPr>
              <w:jc w:val="right"/>
            </w:pPr>
            <w:r>
              <w:rPr>
                <w:b w:val="0"/>
                <w:i w:val="0"/>
                <w:color w:val="1C5CAB"/>
                <w:sz w:val="15"/>
              </w:rPr>
              <w:t>+1.6%</w:t>
            </w:r>
          </w:p>
        </w:tc>
        <w:tc>
          <w:tcPr>
            <w:tcW w:type="dxa" w:w="792"/>
            <w:shd w:val="clear" w:color="auto" w:fill="F7F7F5"/>
          </w:tcPr>
          <w:p>
            <w:pPr>
              <w:jc w:val="right"/>
            </w:pPr>
            <w:r>
              <w:rPr>
                <w:b w:val="0"/>
                <w:i w:val="0"/>
                <w:color w:val="1C5CAB"/>
                <w:sz w:val="15"/>
              </w:rPr>
              <w:t>+2.2%</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(50)</w:t>
            </w:r>
          </w:p>
        </w:tc>
        <w:tc>
          <w:tcPr>
            <w:tcW w:type="dxa" w:w="1872"/>
            <w:shd w:val="clear" w:color="auto" w:fill="F7F7F5"/>
          </w:tcPr>
          <w:p>
            <w:r>
              <w:rPr>
                <w:b w:val="0"/>
                <w:i w:val="0"/>
                <w:sz w:val="15"/>
              </w:rPr>
              <w:t>Weekly up · Above avg price</w:t>
            </w:r>
          </w:p>
        </w:tc>
        <w:tc>
          <w:tcPr>
            <w:tcW w:type="dxa" w:w="1642"/>
            <w:shd w:val="clear" w:color="auto" w:fill="F7F7F5"/>
          </w:tcPr>
          <w:p>
            <w:r>
              <w:rPr>
                <w:b w:val="0"/>
                <w:i w:val="0"/>
                <w:sz w:val="15"/>
              </w:rPr>
              <w:t>Moved without a signal</w:t>
            </w:r>
          </w:p>
        </w:tc>
      </w:tr>
      <w:tr>
        <w:tc>
          <w:tcPr>
            <w:tcW w:type="dxa" w:w="360"/>
          </w:tcPr>
          <w:p>
            <w:r>
              <w:rPr>
                <w:b w:val="0"/>
                <w:i w:val="0"/>
                <w:sz w:val="15"/>
              </w:rPr>
              <w:t>7</w:t>
            </w:r>
          </w:p>
        </w:tc>
        <w:tc>
          <w:tcPr>
            <w:tcW w:type="dxa" w:w="2189"/>
          </w:tcPr>
          <w:p>
            <w:r>
              <w:rPr>
                <w:b w:val="0"/>
                <w:i w:val="0"/>
                <w:sz w:val="15"/>
              </w:rPr>
              <w:t>Keppel Corp ★</w:t>
            </w:r>
          </w:p>
        </w:tc>
        <w:tc>
          <w:tcPr>
            <w:tcW w:type="dxa" w:w="662"/>
          </w:tcPr>
          <w:p>
            <w:pPr>
              <w:jc w:val="right"/>
            </w:pPr>
            <w:r>
              <w:rPr>
                <w:b w:val="0"/>
                <w:i w:val="0"/>
                <w:color w:val="52514E"/>
                <w:sz w:val="15"/>
              </w:rPr>
              <w:t>+0.2%</w:t>
            </w:r>
          </w:p>
        </w:tc>
        <w:tc>
          <w:tcPr>
            <w:tcW w:type="dxa" w:w="792"/>
          </w:tcPr>
          <w:p>
            <w:pPr>
              <w:jc w:val="right"/>
            </w:pPr>
            <w:r>
              <w:rPr>
                <w:b w:val="0"/>
                <w:i w:val="0"/>
                <w:color w:val="A12D2C"/>
                <w:sz w:val="15"/>
              </w:rPr>
              <w:t>-3.1%</w:t>
            </w:r>
          </w:p>
        </w:tc>
        <w:tc>
          <w:tcPr>
            <w:tcW w:type="dxa" w:w="1037"/>
            <w:shd w:val="clear" w:color="auto" w:fill="EFEEEA"/>
          </w:tcPr>
          <w:p>
            <w:r>
              <w:rPr>
                <w:b/>
                <w:i w:val="0"/>
                <w:color w:val="52514E"/>
                <w:sz w:val="15"/>
              </w:rPr>
              <w:t>Neutral</w:t>
            </w:r>
          </w:p>
        </w:tc>
        <w:tc>
          <w:tcPr>
            <w:tcW w:type="dxa" w:w="1382"/>
          </w:tcPr>
          <w:p>
            <w:r>
              <w:rPr>
                <w:b w:val="0"/>
                <w:i w:val="0"/>
                <w:sz w:val="15"/>
              </w:rPr>
              <w:t>Mostly positive (31)</w:t>
            </w:r>
          </w:p>
        </w:tc>
        <w:tc>
          <w:tcPr>
            <w:tcW w:type="dxa" w:w="1872"/>
          </w:tcPr>
          <w:p>
            <w:r>
              <w:rPr>
                <w:b w:val="0"/>
                <w:i w:val="0"/>
                <w:sz w:val="15"/>
              </w:rPr>
              <w:t>—</w:t>
            </w:r>
          </w:p>
        </w:tc>
        <w:tc>
          <w:tcPr>
            <w:tcW w:type="dxa" w:w="1642"/>
          </w:tcPr>
          <w:p>
            <w:r>
              <w:rPr>
                <w:b w:val="0"/>
                <w:i w:val="0"/>
                <w:sz w:val="15"/>
              </w:rPr>
              <w:t>No signal, little move</w:t>
            </w:r>
          </w:p>
        </w:tc>
      </w:tr>
      <w:tr>
        <w:tc>
          <w:tcPr>
            <w:tcW w:type="dxa" w:w="360"/>
            <w:shd w:val="clear" w:color="auto" w:fill="F7F7F5"/>
          </w:tcPr>
          <w:p>
            <w:r>
              <w:rPr>
                <w:b w:val="0"/>
                <w:i w:val="0"/>
                <w:sz w:val="15"/>
              </w:rPr>
              <w:t>8</w:t>
            </w:r>
          </w:p>
        </w:tc>
        <w:tc>
          <w:tcPr>
            <w:tcW w:type="dxa" w:w="2189"/>
            <w:shd w:val="clear" w:color="auto" w:fill="F7F7F5"/>
          </w:tcPr>
          <w:p>
            <w:r>
              <w:rPr>
                <w:b w:val="0"/>
                <w:i w:val="0"/>
                <w:sz w:val="15"/>
              </w:rPr>
              <w:t>Raffles Medical Group ★</w:t>
            </w:r>
          </w:p>
        </w:tc>
        <w:tc>
          <w:tcPr>
            <w:tcW w:type="dxa" w:w="662"/>
            <w:shd w:val="clear" w:color="auto" w:fill="F7F7F5"/>
          </w:tcPr>
          <w:p>
            <w:pPr>
              <w:jc w:val="right"/>
            </w:pPr>
            <w:r>
              <w:rPr>
                <w:b w:val="0"/>
                <w:i w:val="0"/>
                <w:color w:val="1C5CAB"/>
                <w:sz w:val="15"/>
              </w:rPr>
              <w:t>+0.6%</w:t>
            </w:r>
          </w:p>
        </w:tc>
        <w:tc>
          <w:tcPr>
            <w:tcW w:type="dxa" w:w="792"/>
            <w:shd w:val="clear" w:color="auto" w:fill="F7F7F5"/>
          </w:tcPr>
          <w:p>
            <w:pPr>
              <w:jc w:val="right"/>
            </w:pPr>
            <w:r>
              <w:rPr>
                <w:b w:val="0"/>
                <w:i w:val="0"/>
                <w:color w:val="1C5CAB"/>
                <w:sz w:val="15"/>
              </w:rPr>
              <w:t>+1.8%</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Mostly positive (22)</w:t>
            </w:r>
          </w:p>
        </w:tc>
        <w:tc>
          <w:tcPr>
            <w:tcW w:type="dxa" w:w="1872"/>
            <w:shd w:val="clear" w:color="auto" w:fill="F7F7F5"/>
          </w:tcPr>
          <w:p>
            <w:r>
              <w:rPr>
                <w:b w:val="0"/>
                <w:i w:val="0"/>
                <w:sz w:val="15"/>
              </w:rPr>
              <w:t>Weekly down</w:t>
            </w:r>
          </w:p>
        </w:tc>
        <w:tc>
          <w:tcPr>
            <w:tcW w:type="dxa" w:w="1642"/>
            <w:shd w:val="clear" w:color="auto" w:fill="F7F7F5"/>
          </w:tcPr>
          <w:p>
            <w:r>
              <w:rPr>
                <w:b w:val="0"/>
                <w:i w:val="0"/>
                <w:sz w:val="15"/>
              </w:rPr>
              <w:t>No signal, little move</w:t>
            </w:r>
          </w:p>
        </w:tc>
      </w:tr>
      <w:tr>
        <w:tc>
          <w:tcPr>
            <w:tcW w:type="dxa" w:w="360"/>
          </w:tcPr>
          <w:p>
            <w:r>
              <w:rPr>
                <w:b w:val="0"/>
                <w:i w:val="0"/>
                <w:sz w:val="15"/>
              </w:rPr>
              <w:t>9</w:t>
            </w:r>
          </w:p>
        </w:tc>
        <w:tc>
          <w:tcPr>
            <w:tcW w:type="dxa" w:w="2189"/>
          </w:tcPr>
          <w:p>
            <w:r>
              <w:rPr>
                <w:b w:val="0"/>
                <w:i w:val="0"/>
                <w:sz w:val="15"/>
              </w:rPr>
              <w:t>Ascendas REIT ★</w:t>
            </w:r>
          </w:p>
        </w:tc>
        <w:tc>
          <w:tcPr>
            <w:tcW w:type="dxa" w:w="662"/>
          </w:tcPr>
          <w:p>
            <w:pPr>
              <w:jc w:val="right"/>
            </w:pPr>
            <w:r>
              <w:rPr>
                <w:b w:val="0"/>
                <w:i w:val="0"/>
                <w:color w:val="52514E"/>
                <w:sz w:val="15"/>
              </w:rPr>
              <w:t>+0.0%</w:t>
            </w:r>
          </w:p>
        </w:tc>
        <w:tc>
          <w:tcPr>
            <w:tcW w:type="dxa" w:w="792"/>
          </w:tcPr>
          <w:p>
            <w:pPr>
              <w:jc w:val="right"/>
            </w:pPr>
            <w:r>
              <w:rPr>
                <w:b w:val="0"/>
                <w:i w:val="0"/>
                <w:color w:val="A12D2C"/>
                <w:sz w:val="15"/>
              </w:rPr>
              <w:t>-0.4%</w:t>
            </w:r>
          </w:p>
        </w:tc>
        <w:tc>
          <w:tcPr>
            <w:tcW w:type="dxa" w:w="1037"/>
            <w:shd w:val="clear" w:color="auto" w:fill="EFEEEA"/>
          </w:tcPr>
          <w:p>
            <w:r>
              <w:rPr>
                <w:b/>
                <w:i w:val="0"/>
                <w:color w:val="52514E"/>
                <w:sz w:val="15"/>
              </w:rPr>
              <w:t>Neutral</w:t>
            </w:r>
          </w:p>
        </w:tc>
        <w:tc>
          <w:tcPr>
            <w:tcW w:type="dxa" w:w="1382"/>
          </w:tcPr>
          <w:p>
            <w:r>
              <w:rPr>
                <w:b w:val="0"/>
                <w:i w:val="0"/>
                <w:sz w:val="15"/>
              </w:rPr>
              <w:t>Mostly positive (20)</w:t>
            </w:r>
          </w:p>
        </w:tc>
        <w:tc>
          <w:tcPr>
            <w:tcW w:type="dxa" w:w="1872"/>
          </w:tcPr>
          <w:p>
            <w:r>
              <w:rPr>
                <w:b w:val="0"/>
                <w:i w:val="0"/>
                <w:sz w:val="15"/>
              </w:rPr>
              <w:t>Weekly down</w:t>
            </w:r>
          </w:p>
        </w:tc>
        <w:tc>
          <w:tcPr>
            <w:tcW w:type="dxa" w:w="1642"/>
          </w:tcPr>
          <w:p>
            <w:r>
              <w:rPr>
                <w:b w:val="0"/>
                <w:i w:val="0"/>
                <w:sz w:val="15"/>
              </w:rPr>
              <w:t>No signal, little move</w:t>
            </w:r>
          </w:p>
        </w:tc>
      </w:tr>
      <w:tr>
        <w:tc>
          <w:tcPr>
            <w:tcW w:type="dxa" w:w="360"/>
            <w:shd w:val="clear" w:color="auto" w:fill="F7F7F5"/>
          </w:tcPr>
          <w:p>
            <w:r>
              <w:rPr>
                <w:b w:val="0"/>
                <w:i w:val="0"/>
                <w:sz w:val="15"/>
              </w:rPr>
              <w:t>10</w:t>
            </w:r>
          </w:p>
        </w:tc>
        <w:tc>
          <w:tcPr>
            <w:tcW w:type="dxa" w:w="2189"/>
            <w:shd w:val="clear" w:color="auto" w:fill="F7F7F5"/>
          </w:tcPr>
          <w:p>
            <w:r>
              <w:rPr>
                <w:b w:val="0"/>
                <w:i w:val="0"/>
                <w:sz w:val="15"/>
              </w:rPr>
              <w:t>Singtel ★</w:t>
            </w:r>
          </w:p>
        </w:tc>
        <w:tc>
          <w:tcPr>
            <w:tcW w:type="dxa" w:w="662"/>
            <w:shd w:val="clear" w:color="auto" w:fill="F7F7F5"/>
          </w:tcPr>
          <w:p>
            <w:pPr>
              <w:jc w:val="right"/>
            </w:pPr>
            <w:r>
              <w:rPr>
                <w:b w:val="0"/>
                <w:i w:val="0"/>
                <w:color w:val="52514E"/>
                <w:sz w:val="15"/>
              </w:rPr>
              <w:t>+0.0%</w:t>
            </w:r>
          </w:p>
        </w:tc>
        <w:tc>
          <w:tcPr>
            <w:tcW w:type="dxa" w:w="792"/>
            <w:shd w:val="clear" w:color="auto" w:fill="F7F7F5"/>
          </w:tcPr>
          <w:p>
            <w:pPr>
              <w:jc w:val="right"/>
            </w:pPr>
            <w:r>
              <w:rPr>
                <w:b w:val="0"/>
                <w:i w:val="0"/>
                <w:color w:val="A12D2C"/>
                <w:sz w:val="15"/>
              </w:rPr>
              <w:t>-2.2%</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(49)</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No signal, little move</w:t>
            </w:r>
          </w:p>
        </w:tc>
      </w:tr>
      <w:tr>
        <w:tc>
          <w:tcPr>
            <w:tcW w:type="dxa" w:w="360"/>
          </w:tcPr>
          <w:p>
            <w:r>
              <w:rPr>
                <w:b w:val="0"/>
                <w:i w:val="0"/>
                <w:sz w:val="15"/>
              </w:rPr>
              <w:t>11</w:t>
            </w:r>
          </w:p>
        </w:tc>
        <w:tc>
          <w:tcPr>
            <w:tcW w:type="dxa" w:w="2189"/>
          </w:tcPr>
          <w:p>
            <w:r>
              <w:rPr>
                <w:b w:val="0"/>
                <w:i w:val="0"/>
                <w:sz w:val="15"/>
              </w:rPr>
              <w:t>Wilmar Intl ★</w:t>
            </w:r>
          </w:p>
        </w:tc>
        <w:tc>
          <w:tcPr>
            <w:tcW w:type="dxa" w:w="662"/>
          </w:tcPr>
          <w:p>
            <w:pPr>
              <w:jc w:val="right"/>
            </w:pPr>
            <w:r>
              <w:rPr>
                <w:b w:val="0"/>
                <w:i w:val="0"/>
                <w:color w:val="1C5CAB"/>
                <w:sz w:val="15"/>
              </w:rPr>
              <w:t>+0.5%</w:t>
            </w:r>
          </w:p>
        </w:tc>
        <w:tc>
          <w:tcPr>
            <w:tcW w:type="dxa" w:w="792"/>
          </w:tcPr>
          <w:p>
            <w:pPr>
              <w:jc w:val="right"/>
            </w:pPr>
            <w:r>
              <w:rPr>
                <w:b w:val="0"/>
                <w:i w:val="0"/>
                <w:color w:val="1C5CAB"/>
                <w:sz w:val="15"/>
              </w:rPr>
              <w:t>+0.5%</w:t>
            </w:r>
          </w:p>
        </w:tc>
        <w:tc>
          <w:tcPr>
            <w:tcW w:type="dxa" w:w="1037"/>
            <w:shd w:val="clear" w:color="auto" w:fill="EFEEEA"/>
          </w:tcPr>
          <w:p>
            <w:r>
              <w:rPr>
                <w:b/>
                <w:i w:val="0"/>
                <w:color w:val="52514E"/>
                <w:sz w:val="15"/>
              </w:rPr>
              <w:t>Neutral</w:t>
            </w:r>
          </w:p>
        </w:tc>
        <w:tc>
          <w:tcPr>
            <w:tcW w:type="dxa" w:w="1382"/>
          </w:tcPr>
          <w:p>
            <w:r>
              <w:rPr>
                <w:b w:val="0"/>
                <w:i w:val="0"/>
                <w:sz w:val="15"/>
              </w:rPr>
              <w:t>Mixed (20)</w:t>
            </w:r>
          </w:p>
        </w:tc>
        <w:tc>
          <w:tcPr>
            <w:tcW w:type="dxa" w:w="1872"/>
          </w:tcPr>
          <w:p>
            <w:r>
              <w:rPr>
                <w:b w:val="0"/>
                <w:i w:val="0"/>
                <w:sz w:val="15"/>
              </w:rPr>
              <w:t>Above avg price</w:t>
            </w:r>
          </w:p>
        </w:tc>
        <w:tc>
          <w:tcPr>
            <w:tcW w:type="dxa" w:w="1642"/>
          </w:tcPr>
          <w:p>
            <w:r>
              <w:rPr>
                <w:b w:val="0"/>
                <w:i w:val="0"/>
                <w:sz w:val="15"/>
              </w:rPr>
              <w:t>No signal, little move</w:t>
            </w:r>
          </w:p>
        </w:tc>
      </w:tr>
      <w:tr>
        <w:tc>
          <w:tcPr>
            <w:tcW w:type="dxa" w:w="360"/>
            <w:shd w:val="clear" w:color="auto" w:fill="F7F7F5"/>
          </w:tcPr>
          <w:p>
            <w:r>
              <w:rPr>
                <w:b w:val="0"/>
                <w:i w:val="0"/>
                <w:sz w:val="15"/>
              </w:rPr>
              <w:t>12</w:t>
            </w:r>
          </w:p>
        </w:tc>
        <w:tc>
          <w:tcPr>
            <w:tcW w:type="dxa" w:w="2189"/>
            <w:shd w:val="clear" w:color="auto" w:fill="F7F7F5"/>
          </w:tcPr>
          <w:p>
            <w:r>
              <w:rPr>
                <w:b w:val="0"/>
                <w:i w:val="0"/>
                <w:sz w:val="15"/>
              </w:rPr>
              <w:t>Sembcorp Industries ★</w:t>
            </w:r>
          </w:p>
        </w:tc>
        <w:tc>
          <w:tcPr>
            <w:tcW w:type="dxa" w:w="662"/>
            <w:shd w:val="clear" w:color="auto" w:fill="F7F7F5"/>
          </w:tcPr>
          <w:p>
            <w:pPr>
              <w:jc w:val="right"/>
            </w:pPr>
            <w:r>
              <w:rPr>
                <w:b w:val="0"/>
                <w:i w:val="0"/>
                <w:color w:val="A12D2C"/>
                <w:sz w:val="15"/>
              </w:rPr>
              <w:t>-0.3%</w:t>
            </w:r>
          </w:p>
        </w:tc>
        <w:tc>
          <w:tcPr>
            <w:tcW w:type="dxa" w:w="792"/>
            <w:shd w:val="clear" w:color="auto" w:fill="F7F7F5"/>
          </w:tcPr>
          <w:p>
            <w:pPr>
              <w:jc w:val="right"/>
            </w:pPr>
            <w:r>
              <w:rPr>
                <w:b w:val="0"/>
                <w:i w:val="0"/>
                <w:color w:val="A12D2C"/>
                <w:sz w:val="15"/>
              </w:rPr>
              <w:t>-2.8%</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(18)</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No signal, little move</w:t>
            </w:r>
          </w:p>
        </w:tc>
      </w:tr>
      <w:tr>
        <w:tc>
          <w:tcPr>
            <w:tcW w:type="dxa" w:w="360"/>
          </w:tcPr>
          <w:p>
            <w:r>
              <w:rPr>
                <w:b w:val="0"/>
                <w:i w:val="0"/>
                <w:sz w:val="15"/>
              </w:rPr>
              <w:t>13</w:t>
            </w:r>
          </w:p>
        </w:tc>
        <w:tc>
          <w:tcPr>
            <w:tcW w:type="dxa" w:w="2189"/>
          </w:tcPr>
          <w:p>
            <w:r>
              <w:rPr>
                <w:b w:val="0"/>
                <w:i w:val="0"/>
                <w:sz w:val="15"/>
              </w:rPr>
              <w:t>Mapletree Pan Asia Comm. Trust ★</w:t>
            </w:r>
          </w:p>
        </w:tc>
        <w:tc>
          <w:tcPr>
            <w:tcW w:type="dxa" w:w="662"/>
          </w:tcPr>
          <w:p>
            <w:pPr>
              <w:jc w:val="right"/>
            </w:pPr>
            <w:r>
              <w:rPr>
                <w:b w:val="0"/>
                <w:i w:val="0"/>
                <w:color w:val="1C5CAB"/>
                <w:sz w:val="15"/>
              </w:rPr>
              <w:t>+0.8%</w:t>
            </w:r>
          </w:p>
        </w:tc>
        <w:tc>
          <w:tcPr>
            <w:tcW w:type="dxa" w:w="792"/>
          </w:tcPr>
          <w:p>
            <w:pPr>
              <w:jc w:val="right"/>
            </w:pPr>
            <w:r>
              <w:rPr>
                <w:b w:val="0"/>
                <w:i w:val="0"/>
                <w:color w:val="52514E"/>
                <w:sz w:val="15"/>
              </w:rPr>
              <w:t>+0.0%</w:t>
            </w:r>
          </w:p>
        </w:tc>
        <w:tc>
          <w:tcPr>
            <w:tcW w:type="dxa" w:w="1037"/>
            <w:shd w:val="clear" w:color="auto" w:fill="EFEEEA"/>
          </w:tcPr>
          <w:p>
            <w:r>
              <w:rPr>
                <w:b/>
                <w:i w:val="0"/>
                <w:color w:val="52514E"/>
                <w:sz w:val="15"/>
              </w:rPr>
              <w:t>Neutral</w:t>
            </w:r>
          </w:p>
        </w:tc>
        <w:tc>
          <w:tcPr>
            <w:tcW w:type="dxa" w:w="1382"/>
          </w:tcPr>
          <w:p>
            <w:r>
              <w:rPr>
                <w:b w:val="0"/>
                <w:i w:val="0"/>
                <w:sz w:val="15"/>
              </w:rPr>
              <w:t>Mixed (20)</w:t>
            </w:r>
          </w:p>
        </w:tc>
        <w:tc>
          <w:tcPr>
            <w:tcW w:type="dxa" w:w="1872"/>
          </w:tcPr>
          <w:p>
            <w:r>
              <w:rPr>
                <w:b w:val="0"/>
                <w:i w:val="0"/>
                <w:sz w:val="15"/>
              </w:rPr>
              <w:t>Weekly down</w:t>
            </w:r>
          </w:p>
        </w:tc>
        <w:tc>
          <w:tcPr>
            <w:tcW w:type="dxa" w:w="1642"/>
          </w:tcPr>
          <w:p>
            <w:r>
              <w:rPr>
                <w:b w:val="0"/>
                <w:i w:val="0"/>
                <w:sz w:val="15"/>
              </w:rPr>
              <w:t>Moved without a signal</w:t>
            </w:r>
          </w:p>
        </w:tc>
      </w:tr>
      <w:tr>
        <w:tc>
          <w:tcPr>
            <w:tcW w:type="dxa" w:w="360"/>
            <w:shd w:val="clear" w:color="auto" w:fill="F7F7F5"/>
          </w:tcPr>
          <w:p>
            <w:r>
              <w:rPr>
                <w:b w:val="0"/>
                <w:i w:val="0"/>
                <w:sz w:val="15"/>
              </w:rPr>
              <w:t>14</w:t>
            </w:r>
          </w:p>
        </w:tc>
        <w:tc>
          <w:tcPr>
            <w:tcW w:type="dxa" w:w="2189"/>
            <w:shd w:val="clear" w:color="auto" w:fill="F7F7F5"/>
          </w:tcPr>
          <w:p>
            <w:r>
              <w:rPr>
                <w:b w:val="0"/>
                <w:i w:val="0"/>
                <w:sz w:val="15"/>
              </w:rPr>
              <w:t>ComfortDelGro ★</w:t>
            </w:r>
          </w:p>
        </w:tc>
        <w:tc>
          <w:tcPr>
            <w:tcW w:type="dxa" w:w="662"/>
            <w:shd w:val="clear" w:color="auto" w:fill="F7F7F5"/>
          </w:tcPr>
          <w:p>
            <w:pPr>
              <w:jc w:val="right"/>
            </w:pPr>
            <w:r>
              <w:rPr>
                <w:b w:val="0"/>
                <w:i w:val="0"/>
                <w:color w:val="A12D2C"/>
                <w:sz w:val="15"/>
              </w:rPr>
              <w:t>-1.6%</w:t>
            </w:r>
          </w:p>
        </w:tc>
        <w:tc>
          <w:tcPr>
            <w:tcW w:type="dxa" w:w="792"/>
            <w:shd w:val="clear" w:color="auto" w:fill="F7F7F5"/>
          </w:tcPr>
          <w:p>
            <w:pPr>
              <w:jc w:val="right"/>
            </w:pPr>
            <w:r>
              <w:rPr>
                <w:b w:val="0"/>
                <w:i w:val="0"/>
                <w:color w:val="A12D2C"/>
                <w:sz w:val="15"/>
              </w:rPr>
              <w:t>-2.3%</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(39)</w:t>
            </w:r>
          </w:p>
        </w:tc>
        <w:tc>
          <w:tcPr>
            <w:tcW w:type="dxa" w:w="1872"/>
            <w:shd w:val="clear" w:color="auto" w:fill="F7F7F5"/>
          </w:tcPr>
          <w:p>
            <w:r>
              <w:rPr>
                <w:b w:val="0"/>
                <w:i w:val="0"/>
                <w:sz w:val="15"/>
              </w:rPr>
              <w:t>Weekly down · Below range</w:t>
            </w:r>
          </w:p>
        </w:tc>
        <w:tc>
          <w:tcPr>
            <w:tcW w:type="dxa" w:w="1642"/>
            <w:shd w:val="clear" w:color="auto" w:fill="F7F7F5"/>
          </w:tcPr>
          <w:p>
            <w:r>
              <w:rPr>
                <w:b w:val="0"/>
                <w:i w:val="0"/>
                <w:sz w:val="15"/>
              </w:rPr>
              <w:t>Moved without a signal</w:t>
            </w:r>
          </w:p>
        </w:tc>
      </w:tr>
      <w:tr>
        <w:tc>
          <w:tcPr>
            <w:tcW w:type="dxa" w:w="360"/>
          </w:tcPr>
          <w:p>
            <w:r>
              <w:rPr>
                <w:b w:val="0"/>
                <w:i w:val="0"/>
                <w:sz w:val="15"/>
              </w:rPr>
              <w:t>15</w:t>
            </w:r>
          </w:p>
        </w:tc>
        <w:tc>
          <w:tcPr>
            <w:tcW w:type="dxa" w:w="2189"/>
          </w:tcPr>
          <w:p>
            <w:r>
              <w:rPr>
                <w:b w:val="0"/>
                <w:i w:val="0"/>
                <w:sz w:val="15"/>
              </w:rPr>
              <w:t>Mapletree Industrial ★</w:t>
            </w:r>
          </w:p>
        </w:tc>
        <w:tc>
          <w:tcPr>
            <w:tcW w:type="dxa" w:w="662"/>
          </w:tcPr>
          <w:p>
            <w:pPr>
              <w:jc w:val="right"/>
            </w:pPr>
            <w:r>
              <w:rPr>
                <w:b w:val="0"/>
                <w:i w:val="0"/>
                <w:color w:val="1C5CAB"/>
                <w:sz w:val="15"/>
              </w:rPr>
              <w:t>+0.5%</w:t>
            </w:r>
          </w:p>
        </w:tc>
        <w:tc>
          <w:tcPr>
            <w:tcW w:type="dxa" w:w="792"/>
          </w:tcPr>
          <w:p>
            <w:pPr>
              <w:jc w:val="right"/>
            </w:pPr>
            <w:r>
              <w:rPr>
                <w:b w:val="0"/>
                <w:i w:val="0"/>
                <w:color w:val="A12D2C"/>
                <w:sz w:val="15"/>
              </w:rPr>
              <w:t>-0.5%</w:t>
            </w:r>
          </w:p>
        </w:tc>
        <w:tc>
          <w:tcPr>
            <w:tcW w:type="dxa" w:w="1037"/>
            <w:shd w:val="clear" w:color="auto" w:fill="EFEEEA"/>
          </w:tcPr>
          <w:p>
            <w:r>
              <w:rPr>
                <w:b/>
                <w:i w:val="0"/>
                <w:color w:val="52514E"/>
                <w:sz w:val="15"/>
              </w:rPr>
              <w:t>Neutral</w:t>
            </w:r>
          </w:p>
        </w:tc>
        <w:tc>
          <w:tcPr>
            <w:tcW w:type="dxa" w:w="1382"/>
          </w:tcPr>
          <w:p>
            <w:r>
              <w:rPr>
                <w:b w:val="0"/>
                <w:i w:val="0"/>
                <w:sz w:val="15"/>
              </w:rPr>
              <w:t>Mostly negative (24)</w:t>
            </w:r>
          </w:p>
        </w:tc>
        <w:tc>
          <w:tcPr>
            <w:tcW w:type="dxa" w:w="1872"/>
          </w:tcPr>
          <w:p>
            <w:r>
              <w:rPr>
                <w:b w:val="0"/>
                <w:i w:val="0"/>
                <w:sz w:val="15"/>
              </w:rPr>
              <w:t>—</w:t>
            </w:r>
          </w:p>
        </w:tc>
        <w:tc>
          <w:tcPr>
            <w:tcW w:type="dxa" w:w="1642"/>
          </w:tcPr>
          <w:p>
            <w:r>
              <w:rPr>
                <w:b w:val="0"/>
                <w:i w:val="0"/>
                <w:sz w:val="15"/>
              </w:rPr>
              <w:t>No signal, little move</w:t>
            </w:r>
          </w:p>
        </w:tc>
      </w:tr>
    </w:tbl>
    <w:p>
      <w:pPr>
        <w:spacing w:after="40"/>
      </w:pPr>
      <w:r>
        <w:rPr>
          <w:b w:val="0"/>
          <w:i w:val="0"/>
          <w:color w:val="52514E"/>
          <w:sz w:val="14"/>
        </w:rPr>
        <w:t>The ranking describes today: in our tests it did not predict which stocks did better the next day, so it is not a list of stocks to pick. News today: the tone and number of company articles collected today. Price chart: chart signals that fired. Price vs news: whether today's price moved with the reading (a move within ±0.6%, a normal day, counts as no reaction). ★ more company-event news than usual (earnings, dividends, upgrades). ⚑ worth a closer look (none today; meaning in the glossary).</w:t>
      </w:r>
    </w:p>
    <w:p>
      <w:pPr>
        <w:keepNext/>
        <w:pageBreakBefore/>
        <w:spacing w:before="0" w:after="40"/>
        <w:pBdr>
          <w:bottom w:val="single" w:sz="6" w:space="2" w:color="CDE2FB"/>
        </w:pBdr>
      </w:pPr>
      <w:r>
        <w:rPr>
          <w:b/>
          <w:i w:val="0"/>
          <w:color w:val="1A2E55"/>
          <w:sz w:val="26"/>
        </w:rPr>
        <w:t>2 · The last 5 trading days and what may explain them</w:t>
      </w:r>
    </w:p>
    <w:p>
      <w:pPr>
        <w:keepNext/>
      </w:pPr>
      <w:r>
        <w:rPr>
          <w:b w:val="0"/>
          <w:i w:val="0"/>
          <w:color w:val="52514E"/>
          <w:sz w:val="17"/>
        </w:rPr>
        <w:t>Each square is one day's news-and-signals reading for a stock; the bar is its price change over 11–17 Sep. Stocks are grouped by sector, best sector first.</w:t>
      </w:r>
    </w:p>
    <w:p>
      <w:pPr>
        <w:spacing w:after="40"/>
      </w:pPr>
      <w:r>
        <w:drawing>
          <wp:inline xmlns:a="http://schemas.openxmlformats.org/drawingml/2006/main" xmlns:pic="http://schemas.openxmlformats.org/drawingml/2006/picture">
            <wp:extent cx="6309360" cy="3650415"/>
            <wp:docPr id="1" name="Picture 1"/>
            <wp:cNvGraphicFramePr>
              <a:graphicFrameLocks noChangeAspect="1"/>
            </wp:cNvGraphicFramePr>
            <a:graphic>
              <a:graphicData uri="http://schemas.openxmlformats.org/drawingml/2006/picture">
                <pic:pic>
                  <pic:nvPicPr>
                    <pic:cNvPr id="0" name="week_2026-09-17.png"/>
                    <pic:cNvPicPr/>
                  </pic:nvPicPr>
                  <pic:blipFill>
                    <a:blip r:embed="rId10"/>
                    <a:stretch>
                      <a:fillRect/>
                    </a:stretch>
                  </pic:blipFill>
                  <pic:spPr>
                    <a:xfrm>
                      <a:off x="0" y="0"/>
                      <a:ext cx="6309360" cy="3650415"/>
                    </a:xfrm>
                    <a:prstGeom prst="rect"/>
                  </pic:spPr>
                </pic:pic>
              </a:graphicData>
            </a:graphic>
          </wp:inline>
        </w:drawing>
      </w:r>
    </w:p>
    <w:p>
      <w:pPr>
        <w:keepNext/>
        <w:spacing w:before="120" w:after="20"/>
      </w:pPr>
      <w:r>
        <w:rPr>
          <w:b/>
          <w:i w:val="0"/>
          <w:color w:val="1A2E55"/>
          <w:sz w:val="21"/>
        </w:rPr>
        <w:t>Where today's news adds something</w:t>
      </w:r>
    </w:p>
    <w:p>
      <w:pPr>
        <w:spacing w:after="40"/>
      </w:pPr>
      <w:r>
        <w:rPr>
          <w:b w:val="0"/>
          <w:i w:val="0"/>
          <w:color w:val="52514E"/>
          <w:sz w:val="15"/>
        </w:rPr>
        <w:t>The stocks with a positive or negative news-and-signals reading today (⚑ first, strongest first), then the biggest movers.</w:t>
      </w:r>
    </w:p>
    <w:p>
      <w:pPr>
        <w:spacing w:after="40"/>
      </w:pPr>
      <w:r>
        <w:rPr>
          <w:b w:val="0"/>
          <w:i w:val="0"/>
          <w:color w:val="52514E"/>
          <w:sz w:val="14"/>
        </w:rPr>
        <w:t>The AI summaries mention a 'geopolitical backdrop' and 'political news volume': those two rules fire every day and cancel out, so they carry no information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E34948"/>
            </w:tcBorders>
          </w:tcPr>
          <w:p>
            <w:r>
              <w:rPr>
                <w:b/>
                <w:i w:val="0"/>
                <w:color w:val="1A2E55"/>
                <w:sz w:val="21"/>
              </w:rPr>
              <w:t>SGX Group</w:t>
            </w:r>
            <w:r>
              <w:rPr>
                <w:b w:val="0"/>
                <w:i w:val="0"/>
                <w:color w:val="52514E"/>
                <w:sz w:val="17"/>
              </w:rPr>
              <w:t xml:space="preserve">   Financial Services  ·  -9.8% over 11–17 Sep</w:t>
            </w:r>
          </w:p>
          <w:p>
            <w:pPr>
              <w:spacing w:after="10" w:line="240" w:lineRule="auto"/>
            </w:pPr>
            <w:r>
              <w:rPr>
                <w:b/>
                <w:i w:val="0"/>
                <w:color w:val="1A2E55"/>
                <w:sz w:val="16"/>
              </w:rPr>
              <w:t xml:space="preserve">In short (AI-written, checked)  </w:t>
            </w:r>
            <w:r>
              <w:rPr>
                <w:b w:val="0"/>
                <w:i w:val="0"/>
                <w:sz w:val="16"/>
              </w:rPr>
              <w:t>SGX Group fell 9.8% over 11–17 Sep. The news today is mostly positive, but it does not yet appear in the price and the company news and the price disagree. The forecast model expects a fall, but its record on this stock is worse than a simple rule, so that forecast deserves little weight.</w:t>
            </w:r>
          </w:p>
          <w:p>
            <w:pPr>
              <w:spacing w:after="10" w:line="240" w:lineRule="auto"/>
            </w:pPr>
            <w:r>
              <w:rPr>
                <w:b/>
                <w:i w:val="0"/>
                <w:color w:val="1A2E55"/>
                <w:sz w:val="16"/>
              </w:rPr>
              <w:t xml:space="preserve">What happened  </w:t>
            </w:r>
            <w:r>
              <w:rPr>
                <w:b w:val="0"/>
                <w:i w:val="0"/>
                <w:sz w:val="16"/>
              </w:rPr>
              <w:t>Fell 9.8% over 11–17 Sep; its biggest day was Mon 14 Sep (-5.7%). Today -0.5%.</w:t>
            </w:r>
          </w:p>
          <w:p>
            <w:pPr>
              <w:spacing w:after="10" w:line="240" w:lineRule="auto"/>
            </w:pPr>
            <w:r>
              <w:rPr>
                <w:b/>
                <w:i w:val="0"/>
                <w:color w:val="1A2E55"/>
                <w:sz w:val="16"/>
              </w:rPr>
              <w:t xml:space="preserve">Today: news vs price  </w:t>
            </w:r>
            <w:r>
              <w:rPr>
                <w:b w:val="0"/>
                <w:i w:val="0"/>
                <w:sz w:val="16"/>
              </w:rPr>
              <w:t>Positive reading, but the price fell 0.5%, within a normal day's ±0.6%: the news has not shown up in the price. The forecast model expects the opposite. (Pattern: Muted, fading.)</w:t>
            </w:r>
          </w:p>
          <w:p>
            <w:pPr>
              <w:spacing w:after="10" w:line="240" w:lineRule="auto"/>
            </w:pPr>
            <w:r>
              <w:rPr>
                <w:b/>
                <w:i w:val="0"/>
                <w:color w:val="1A2E55"/>
                <w:sz w:val="16"/>
              </w:rPr>
              <w:t xml:space="preserve">Last 5 days in context  </w:t>
            </w:r>
            <w:r>
              <w:rPr>
                <w:b w:val="0"/>
                <w:i w:val="0"/>
                <w:sz w:val="16"/>
              </w:rPr>
              <w:t>Company news collected today was mostly positive; the price fell 9.8% over 11–17 Sep, against -1.2% for the 15 stocks on average. So the company news and the price disagree.</w:t>
            </w:r>
          </w:p>
          <w:p>
            <w:pPr>
              <w:spacing w:after="10" w:line="240" w:lineRule="auto"/>
            </w:pPr>
            <w:r>
              <w:rPr>
                <w:b/>
                <w:i w:val="0"/>
                <w:color w:val="1A2E55"/>
                <w:sz w:val="16"/>
              </w:rPr>
              <w:t xml:space="preserve">News today  </w:t>
            </w:r>
            <w:r>
              <w:rPr>
                <w:b w:val="0"/>
                <w:i w:val="0"/>
                <w:sz w:val="16"/>
              </w:rPr>
              <w:t>50 articles collected today: 31 positive, 6 negative, 13 neutral (mostly positive). Event tags: dividend, earnings, merger or acquisition, management change, upgrade.</w:t>
            </w:r>
          </w:p>
          <w:p>
            <w:pPr>
              <w:spacing w:after="10" w:line="240" w:lineRule="auto"/>
            </w:pPr>
            <w:r>
              <w:rPr>
                <w:b/>
                <w:i w:val="0"/>
                <w:color w:val="1A2E55"/>
                <w:sz w:val="16"/>
              </w:rPr>
              <w:t xml:space="preserve">Headlines  </w:t>
            </w:r>
            <w:r>
              <w:rPr>
                <w:b w:val="0"/>
                <w:i w:val="0"/>
                <w:sz w:val="16"/>
              </w:rPr>
              <w:t>+ “Beyond Blue Chips: 3 Cash-Rich SGX Stocks Boosting Dividends 10%+” (The Smart Investor, 08 Sep)   − “Shareholder Windfall: 3 SGX Stocks Boosting Dividends by 20%+” (The Smart Investor, 20 Aug)</w:t>
            </w:r>
          </w:p>
          <w:p>
            <w:pPr>
              <w:spacing w:after="10" w:line="240" w:lineRule="auto"/>
            </w:pPr>
            <w:r>
              <w:rPr>
                <w:b/>
                <w:i w:val="0"/>
                <w:color w:val="1A2E55"/>
                <w:sz w:val="16"/>
              </w:rPr>
              <w:t xml:space="preserve">Price chart  </w:t>
            </w:r>
            <w:r>
              <w:rPr>
                <w:b w:val="0"/>
                <w:i w:val="0"/>
                <w:sz w:val="16"/>
              </w:rPr>
              <w:t>RSI 23, below 30: the price fell fast ('oversold'); price below its usual range (Bollinger band).</w:t>
            </w:r>
          </w:p>
          <w:p>
            <w:pPr>
              <w:spacing w:after="10" w:line="240" w:lineRule="auto"/>
            </w:pPr>
            <w:r>
              <w:rPr>
                <w:b/>
                <w:i w:val="0"/>
                <w:color w:val="1A2E55"/>
                <w:sz w:val="16"/>
              </w:rPr>
              <w:t xml:space="preserve">News &amp; signals reading  </w:t>
            </w:r>
            <w:r>
              <w:rPr>
                <w:b w:val="0"/>
                <w:i w:val="0"/>
                <w:sz w:val="16"/>
              </w:rPr>
              <w:t>Positive today (score +0.63; positive above +0.35, negative below −0.35), and on all 3 earlier recorded days. Without the 'oversold' signal it would be neutral.</w:t>
            </w:r>
          </w:p>
          <w:p>
            <w:pPr>
              <w:spacing w:after="10" w:line="240" w:lineRule="auto"/>
            </w:pPr>
            <w:r>
              <w:rPr>
                <w:b/>
                <w:i w:val="0"/>
                <w:color w:val="1A2E55"/>
                <w:sz w:val="16"/>
              </w:rPr>
              <w:t xml:space="preserve">Rules behind the reading  </w:t>
            </w:r>
            <w:r>
              <w:rPr>
                <w:b w:val="0"/>
                <w:i w:val="0"/>
                <w:sz w:val="16"/>
              </w:rPr>
              <w:t>Up: RSI oversold +0.38, earnings/dividend headlines +0.20, positive company news +0.18. Down: below usual range −0.04. Market-wide: ETF options negative −0.10, political news +0.01 (unreliable, section 5).</w:t>
            </w:r>
          </w:p>
          <w:p>
            <w:pPr>
              <w:spacing w:after="10" w:line="240" w:lineRule="auto"/>
            </w:pPr>
            <w:r>
              <w:rPr>
                <w:b/>
                <w:i w:val="0"/>
                <w:color w:val="1A2E55"/>
                <w:sz w:val="16"/>
              </w:rPr>
              <w:t xml:space="preserve">AI summary of the evidence (checked)  </w:t>
            </w:r>
            <w:r>
              <w:rPr>
                <w:b w:val="0"/>
                <w:i w:val="0"/>
                <w:sz w:val="16"/>
              </w:rPr>
              <w:t>SGX maintains a positive outlook driven by an RSI oversold condition, a positive geopolitical backdrop, and strong corporate earnings highlighted in recent headlines such as record revenue and profit for FY2026. Positive news coverage and a favorable put/call volume ratio reinforce the positive stance, while a moderate VIX level supports market stability. However, the outlook is tempered by elevated political news volume from regional tensions, negative options market positioning, and a slight downside signal from the price being below the lower Bollinger band.</w:t>
            </w:r>
          </w:p>
          <w:p>
            <w:pPr>
              <w:spacing w:after="10" w:line="240" w:lineRule="auto"/>
            </w:pPr>
            <w:r>
              <w:rPr>
                <w:b/>
                <w:i w:val="0"/>
                <w:color w:val="1A2E55"/>
                <w:sz w:val="16"/>
              </w:rPr>
              <w:t xml:space="preserve">Forecast lean  </w:t>
            </w:r>
            <w:r>
              <w:rPr>
                <w:b w:val="0"/>
                <w:i w:val="0"/>
                <w:sz w:val="16"/>
              </w:rPr>
              <w:t>Fall over the next 3 trading days (chance 64%); its normal 3-day swing is ±2.7%. Past record on this stock: below a simple rule (✗), so this call carries no weight.</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2A78D6"/>
            </w:tcBorders>
          </w:tcPr>
          <w:p>
            <w:r>
              <w:rPr>
                <w:b/>
                <w:i w:val="0"/>
                <w:color w:val="1A2E55"/>
                <w:sz w:val="21"/>
              </w:rPr>
              <w:t>DBS Group</w:t>
            </w:r>
            <w:r>
              <w:rPr>
                <w:b w:val="0"/>
                <w:i w:val="0"/>
                <w:color w:val="52514E"/>
                <w:sz w:val="17"/>
              </w:rPr>
              <w:t xml:space="preserve">   Banking  ·  +0.2% over 11–17 Sep</w:t>
            </w:r>
          </w:p>
          <w:p>
            <w:pPr>
              <w:spacing w:after="10" w:line="240" w:lineRule="auto"/>
            </w:pPr>
            <w:r>
              <w:rPr>
                <w:b/>
                <w:i w:val="0"/>
                <w:color w:val="1A2E55"/>
                <w:sz w:val="16"/>
              </w:rPr>
              <w:t xml:space="preserve">In short (AI-written, checked)  </w:t>
            </w:r>
            <w:r>
              <w:rPr>
                <w:b w:val="0"/>
                <w:i w:val="0"/>
                <w:sz w:val="16"/>
              </w:rPr>
              <w:t>DBS Group rose 0.2% over 11–17 Sep. The news today is mostly positive, yet it has not yet been reflected in the price and the company news barely moved. The forecast model expects a fall, but its record on this stock is worse than a simple rule, so that forecast deserves little weight.</w:t>
            </w:r>
          </w:p>
          <w:p>
            <w:pPr>
              <w:spacing w:after="10" w:line="240" w:lineRule="auto"/>
            </w:pPr>
            <w:r>
              <w:rPr>
                <w:b/>
                <w:i w:val="0"/>
                <w:color w:val="1A2E55"/>
                <w:sz w:val="16"/>
              </w:rPr>
              <w:t xml:space="preserve">What happened  </w:t>
            </w:r>
            <w:r>
              <w:rPr>
                <w:b w:val="0"/>
                <w:i w:val="0"/>
                <w:sz w:val="16"/>
              </w:rPr>
              <w:t>Rose 0.2% over 11–17 Sep; its biggest day was Tue 15 Sep (-1.2%). Today +0.2%.</w:t>
            </w:r>
          </w:p>
          <w:p>
            <w:pPr>
              <w:spacing w:after="10" w:line="240" w:lineRule="auto"/>
            </w:pPr>
            <w:r>
              <w:rPr>
                <w:b/>
                <w:i w:val="0"/>
                <w:color w:val="1A2E55"/>
                <w:sz w:val="16"/>
              </w:rPr>
              <w:t xml:space="preserve">Today: news vs price  </w:t>
            </w:r>
            <w:r>
              <w:rPr>
                <w:b w:val="0"/>
                <w:i w:val="0"/>
                <w:sz w:val="16"/>
              </w:rPr>
              <w:t>Positive reading, but the price rose 0.2%, within a normal day's ±0.6%: the news has not shown up in the price. The forecast model expects the opposite. (Pattern: Muted, fading.)</w:t>
            </w:r>
          </w:p>
          <w:p>
            <w:pPr>
              <w:spacing w:after="10" w:line="240" w:lineRule="auto"/>
            </w:pPr>
            <w:r>
              <w:rPr>
                <w:b/>
                <w:i w:val="0"/>
                <w:color w:val="1A2E55"/>
                <w:sz w:val="16"/>
              </w:rPr>
              <w:t xml:space="preserve">Last 5 days in context  </w:t>
            </w:r>
            <w:r>
              <w:rPr>
                <w:b w:val="0"/>
                <w:i w:val="0"/>
                <w:sz w:val="16"/>
              </w:rPr>
              <w:t>Company news collected today was mostly positive; the price rose 0.2% over 11–17 Sep, its 2 sector peers +0.9% on average, and the 15 stocks -1.2% on average. So it barely moved over the period.</w:t>
            </w:r>
          </w:p>
          <w:p>
            <w:pPr>
              <w:spacing w:after="10" w:line="240" w:lineRule="auto"/>
            </w:pPr>
            <w:r>
              <w:rPr>
                <w:b/>
                <w:i w:val="0"/>
                <w:color w:val="1A2E55"/>
                <w:sz w:val="16"/>
              </w:rPr>
              <w:t xml:space="preserve">News today  </w:t>
            </w:r>
            <w:r>
              <w:rPr>
                <w:b w:val="0"/>
                <w:i w:val="0"/>
                <w:sz w:val="16"/>
              </w:rPr>
              <w:t>50 articles collected today: 31 positive, 7 negative, 12 neutral (mostly positive). Event tags: dividend, earnings, upgrade.</w:t>
            </w:r>
          </w:p>
          <w:p>
            <w:pPr>
              <w:spacing w:after="10" w:line="240" w:lineRule="auto"/>
            </w:pPr>
            <w:r>
              <w:rPr>
                <w:b/>
                <w:i w:val="0"/>
                <w:color w:val="1A2E55"/>
                <w:sz w:val="16"/>
              </w:rPr>
              <w:t xml:space="preserve">Headlines  </w:t>
            </w:r>
            <w:r>
              <w:rPr>
                <w:b w:val="0"/>
                <w:i w:val="0"/>
                <w:sz w:val="16"/>
              </w:rPr>
              <w:t>− “Singapore Shares Remain in Red; DBS Sheds” (sg.finance.yahoo.com, 10 Sep)</w:t>
            </w:r>
          </w:p>
          <w:p>
            <w:pPr>
              <w:spacing w:after="10" w:line="240" w:lineRule="auto"/>
            </w:pPr>
            <w:r>
              <w:rPr>
                <w:b/>
                <w:i w:val="0"/>
                <w:color w:val="1A2E55"/>
                <w:sz w:val="16"/>
              </w:rPr>
              <w:t xml:space="preserve">Price chart  </w:t>
            </w:r>
            <w:r>
              <w:rPr>
                <w:b w:val="0"/>
                <w:i w:val="0"/>
                <w:sz w:val="16"/>
              </w:rPr>
              <w:t>RSI 55, between 30 and 70: no unusually fast move; weekly trend up; price above its volume-weighted average.</w:t>
            </w:r>
          </w:p>
          <w:p>
            <w:pPr>
              <w:spacing w:after="10" w:line="240" w:lineRule="auto"/>
            </w:pPr>
            <w:r>
              <w:rPr>
                <w:b/>
                <w:i w:val="0"/>
                <w:color w:val="1A2E55"/>
                <w:sz w:val="16"/>
              </w:rPr>
              <w:t xml:space="preserve">News &amp; signals reading  </w:t>
            </w:r>
            <w:r>
              <w:rPr>
                <w:b w:val="0"/>
                <w:i w:val="0"/>
                <w:sz w:val="16"/>
              </w:rPr>
              <w:t>Positive today (score +0.46; positive above +0.35, negative below −0.35), and on all 3 earlier recorded days. It needs all of 'Earnings/dividend headlines', the positive news and the weekly trend: without any one it would be neutral.</w:t>
            </w:r>
          </w:p>
          <w:p>
            <w:pPr>
              <w:spacing w:after="10" w:line="240" w:lineRule="auto"/>
            </w:pPr>
            <w:r>
              <w:rPr>
                <w:b/>
                <w:i w:val="0"/>
                <w:color w:val="1A2E55"/>
                <w:sz w:val="16"/>
              </w:rPr>
              <w:t xml:space="preserve">Rules behind the reading  </w:t>
            </w:r>
            <w:r>
              <w:rPr>
                <w:b w:val="0"/>
                <w:i w:val="0"/>
                <w:sz w:val="16"/>
              </w:rPr>
              <w:t>Up: earnings/dividend headlines +0.20, positive company news +0.18, weekly trend up +0.15, above average price +0.02. Market-wide: ETF options negative −0.10, political news +0.01 (unreliable, section 5).</w:t>
            </w:r>
          </w:p>
          <w:p>
            <w:pPr>
              <w:spacing w:after="10" w:line="240" w:lineRule="auto"/>
            </w:pPr>
            <w:r>
              <w:rPr>
                <w:b/>
                <w:i w:val="0"/>
                <w:color w:val="1A2E55"/>
                <w:sz w:val="16"/>
              </w:rPr>
              <w:t xml:space="preserve">AI summary of the evidence (checked)  </w:t>
            </w:r>
            <w:r>
              <w:rPr>
                <w:b w:val="0"/>
                <w:i w:val="0"/>
                <w:sz w:val="16"/>
              </w:rPr>
              <w:t>DBS Group remains in a positive stance driven by strong corporate earnings, record net interest income, and a dividend hike, as highlighted in recent Smart Investor reports. The positive geopolitical backdrop and weekly trend confirmation further reinforce the upside, while ML-model analysis confirms a favorable political news tone. However, elevated political news volume and negative options positioning, along with a small negative impact from negative news share, temper the outlook. Despite these contradictions, the consensus remains positive, with the linear model supporting a positive call and the non-linear model leaning neutral.</w:t>
            </w:r>
          </w:p>
          <w:p>
            <w:pPr>
              <w:spacing w:after="10" w:line="240" w:lineRule="auto"/>
            </w:pPr>
            <w:r>
              <w:rPr>
                <w:b/>
                <w:i w:val="0"/>
                <w:color w:val="1A2E55"/>
                <w:sz w:val="16"/>
              </w:rPr>
              <w:t xml:space="preserve">Forecast lean  </w:t>
            </w:r>
            <w:r>
              <w:rPr>
                <w:b w:val="0"/>
                <w:i w:val="0"/>
                <w:sz w:val="16"/>
              </w:rPr>
              <w:t>Fall over the next 3 trading days (chance 94%); its normal 3-day swing is ±1.3%. Past record on this stock: below a simple rule (✗), so this call carries no weight.</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2A78D6"/>
            </w:tcBorders>
          </w:tcPr>
          <w:p>
            <w:r>
              <w:rPr>
                <w:b/>
                <w:i w:val="0"/>
                <w:color w:val="1A2E55"/>
                <w:sz w:val="21"/>
              </w:rPr>
              <w:t>UOB</w:t>
            </w:r>
            <w:r>
              <w:rPr>
                <w:b w:val="0"/>
                <w:i w:val="0"/>
                <w:color w:val="52514E"/>
                <w:sz w:val="17"/>
              </w:rPr>
              <w:t xml:space="preserve">   Banking  ·  +2.2% over 11–17 Sep</w:t>
            </w:r>
          </w:p>
          <w:p>
            <w:pPr>
              <w:spacing w:after="10" w:line="240" w:lineRule="auto"/>
            </w:pPr>
            <w:r>
              <w:rPr>
                <w:b/>
                <w:i w:val="0"/>
                <w:color w:val="1A2E55"/>
                <w:sz w:val="16"/>
              </w:rPr>
              <w:t xml:space="preserve">In short (AI-written, checked)  </w:t>
            </w:r>
            <w:r>
              <w:rPr>
                <w:b w:val="0"/>
                <w:i w:val="0"/>
                <w:sz w:val="16"/>
              </w:rPr>
              <w:t>UOB rose 2.2% over 11–17 Sep. There is no company story in the news today and the stock moved against the market; sector or wider news outside this report's sources is the place to look. The forecast model expects a rise, but its record on this stock is worse than a simple rule, so that forecast deserves little weight.</w:t>
            </w:r>
          </w:p>
          <w:p>
            <w:pPr>
              <w:spacing w:after="10" w:line="240" w:lineRule="auto"/>
            </w:pPr>
            <w:r>
              <w:rPr>
                <w:b/>
                <w:i w:val="0"/>
                <w:color w:val="1A2E55"/>
                <w:sz w:val="16"/>
              </w:rPr>
              <w:t xml:space="preserve">What happened  </w:t>
            </w:r>
            <w:r>
              <w:rPr>
                <w:b w:val="0"/>
                <w:i w:val="0"/>
                <w:sz w:val="16"/>
              </w:rPr>
              <w:t>Rose 2.2% over 11–17 Sep, including +2.6% on Mon 14 Sep. Today +1.6%.</w:t>
            </w:r>
          </w:p>
          <w:p>
            <w:pPr>
              <w:spacing w:after="10" w:line="240" w:lineRule="auto"/>
            </w:pPr>
            <w:r>
              <w:rPr>
                <w:b/>
                <w:i w:val="0"/>
                <w:color w:val="1A2E55"/>
                <w:sz w:val="16"/>
              </w:rPr>
              <w:t xml:space="preserve">Today: news vs price  </w:t>
            </w:r>
            <w:r>
              <w:rPr>
                <w:b w:val="0"/>
                <w:i w:val="0"/>
                <w:sz w:val="16"/>
              </w:rPr>
              <w:t>No news signal today (neutral reading); the price rose 1.6%, more than a normal day's ±0.6%: a move without a news signal. The forecast model still leans 'rise'. (Pattern: Model-only view.)</w:t>
            </w:r>
          </w:p>
          <w:p>
            <w:pPr>
              <w:spacing w:after="10" w:line="240" w:lineRule="auto"/>
            </w:pPr>
            <w:r>
              <w:rPr>
                <w:b/>
                <w:i w:val="0"/>
                <w:color w:val="1A2E55"/>
                <w:sz w:val="16"/>
              </w:rPr>
              <w:t xml:space="preserve">Last 5 days in context  </w:t>
            </w:r>
            <w:r>
              <w:rPr>
                <w:b w:val="0"/>
                <w:i w:val="0"/>
                <w:sz w:val="16"/>
              </w:rPr>
              <w:t>Company news collected today was mixed; the price rose 2.2% over 11–17 Sep, its 2 sector peers -0.1% on average, and the 15 stocks -1.2% on average. So there is no company story in the news, and the stock moved against the market; sector or wider news, outside this report's sources, is the place to look.</w:t>
            </w:r>
          </w:p>
          <w:p>
            <w:pPr>
              <w:spacing w:after="10" w:line="240" w:lineRule="auto"/>
            </w:pPr>
            <w:r>
              <w:rPr>
                <w:b/>
                <w:i w:val="0"/>
                <w:color w:val="1A2E55"/>
                <w:sz w:val="16"/>
              </w:rPr>
              <w:t xml:space="preserve">News today  </w:t>
            </w:r>
            <w:r>
              <w:rPr>
                <w:b w:val="0"/>
                <w:i w:val="0"/>
                <w:sz w:val="16"/>
              </w:rPr>
              <w:t>50 articles collected today: 13 positive, 15 negative, 22 neutral (mixed). Event tags: dividend, earnings, merger or acquisition, upgrade.</w:t>
            </w:r>
          </w:p>
          <w:p>
            <w:pPr>
              <w:spacing w:after="10" w:line="240" w:lineRule="auto"/>
            </w:pPr>
            <w:r>
              <w:rPr>
                <w:b/>
                <w:i w:val="0"/>
                <w:color w:val="1A2E55"/>
                <w:sz w:val="16"/>
              </w:rPr>
              <w:t xml:space="preserve">Price chart  </w:t>
            </w:r>
            <w:r>
              <w:rPr>
                <w:b w:val="0"/>
                <w:i w:val="0"/>
                <w:sz w:val="16"/>
              </w:rPr>
              <w:t>RSI 54, between 30 and 70: no unusually fast move; weekly trend up; price above its volume-weighted average.</w:t>
            </w:r>
          </w:p>
          <w:p>
            <w:pPr>
              <w:spacing w:after="10" w:line="240" w:lineRule="auto"/>
            </w:pPr>
            <w:r>
              <w:rPr>
                <w:b/>
                <w:i w:val="0"/>
                <w:color w:val="1A2E55"/>
                <w:sz w:val="16"/>
              </w:rPr>
              <w:t xml:space="preserve">News &amp; signals reading  </w:t>
            </w:r>
            <w:r>
              <w:rPr>
                <w:b w:val="0"/>
                <w:i w:val="0"/>
                <w:sz w:val="16"/>
              </w:rPr>
              <w:t>Neutral today (score +0.28; positive above +0.35, negative below −0.35), and on 2 of the 3 earlier recorded days. The rules for and against did not add up to a clear reading.</w:t>
            </w:r>
          </w:p>
          <w:p>
            <w:pPr>
              <w:spacing w:after="10" w:line="240" w:lineRule="auto"/>
            </w:pPr>
            <w:r>
              <w:rPr>
                <w:b/>
                <w:i w:val="0"/>
                <w:color w:val="1A2E55"/>
                <w:sz w:val="16"/>
              </w:rPr>
              <w:t xml:space="preserve">Rules behind the reading  </w:t>
            </w:r>
            <w:r>
              <w:rPr>
                <w:b w:val="0"/>
                <w:i w:val="0"/>
                <w:sz w:val="16"/>
              </w:rPr>
              <w:t>Up: earnings/dividend headlines +0.20, weekly trend up +0.15, above average price +0.02. Market-wide: ETF options negative −0.10, political news +0.01 (unreliable, section 5).</w:t>
            </w:r>
          </w:p>
          <w:p>
            <w:pPr>
              <w:spacing w:after="10" w:line="240" w:lineRule="auto"/>
            </w:pPr>
            <w:r>
              <w:rPr>
                <w:b/>
                <w:i w:val="0"/>
                <w:color w:val="1A2E55"/>
                <w:sz w:val="16"/>
              </w:rPr>
              <w:t xml:space="preserve">AI summary of the evidence (checked)  </w:t>
            </w:r>
            <w:r>
              <w:rPr>
                <w:b w:val="0"/>
                <w:i w:val="0"/>
                <w:sz w:val="16"/>
              </w:rPr>
              <w:t>UOB’s outlook remains neutral today, with rule‑based analysis balancing positive signals such as a positive geopolitical backdrop, corporate events, and a positive weekly timeframe against negative factors like elevated political news volume and negative options positioning. ML-model explanations from both LogReg and RandomForest models reinforce positive drivers such as a high put/call ratio, robust news coverage, and a strong VIX, while also flagging political news volume as a negative influence. Recent headlines highlight margin pressures and a drop in Q1 profit, yet the bank’s dividend policy and loan growth provide some support. Though the ML models predict a positive move, the rule‑based framework keeps the sentiment neutral, and macro‑level concerns such as oil losses and geopolitical tensions add caution to the view.</w:t>
            </w:r>
          </w:p>
          <w:p>
            <w:pPr>
              <w:spacing w:after="10" w:line="240" w:lineRule="auto"/>
            </w:pPr>
            <w:r>
              <w:rPr>
                <w:b/>
                <w:i w:val="0"/>
                <w:color w:val="1A2E55"/>
                <w:sz w:val="16"/>
              </w:rPr>
              <w:t xml:space="preserve">Forecast lean  </w:t>
            </w:r>
            <w:r>
              <w:rPr>
                <w:b w:val="0"/>
                <w:i w:val="0"/>
                <w:sz w:val="16"/>
              </w:rPr>
              <w:t>Rise over the next 3 trading days (chance 88%); its normal 3-day swing is ±1.9%. Past record on this stock: below a simple rule (✗), so this call carries no weight.</w:t>
            </w:r>
          </w:p>
        </w:tc>
      </w:tr>
    </w:tbl>
    <w:p>
      <w:pPr>
        <w:keepNext/>
        <w:pageBreakBefore/>
        <w:spacing w:before="0" w:after="40"/>
        <w:pBdr>
          <w:bottom w:val="single" w:sz="6" w:space="2" w:color="CDE2FB"/>
        </w:pBdr>
      </w:pPr>
      <w:r>
        <w:rPr>
          <w:b/>
          <w:i w:val="0"/>
          <w:color w:val="1A2E55"/>
          <w:sz w:val="26"/>
        </w:rPr>
        <w:t>3 · The next 3 trading days: how much each stock may move</w:t>
      </w:r>
    </w:p>
    <w:p>
      <w:pPr>
        <w:keepNext/>
      </w:pPr>
      <w:r>
        <w:rPr>
          <w:b w:val="0"/>
          <w:i w:val="0"/>
          <w:color w:val="52514E"/>
          <w:sz w:val="17"/>
        </w:rPr>
        <w:t>The normal swing and the calmer stocks have held up in testing. The up-or-down lean has not: even with ✓, a rise-or-fall call is no better than a guess.</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2664"/>
        <w:gridCol w:w="1368"/>
        <w:gridCol w:w="1440"/>
        <w:gridCol w:w="1440"/>
        <w:gridCol w:w="1008"/>
        <w:gridCol w:w="2016"/>
      </w:tblGrid>
      <w:tr>
        <w:tc>
          <w:tcPr>
            <w:tcW w:type="dxa" w:w="2664"/>
            <w:shd w:val="clear" w:color="auto" w:fill="1A2E55"/>
          </w:tcPr>
          <w:p>
            <w:pPr>
              <w:keepNext/>
            </w:pPr>
            <w:r>
              <w:rPr>
                <w:b/>
                <w:i w:val="0"/>
                <w:color w:val="FFFFFF"/>
                <w:sz w:val="15"/>
              </w:rPr>
              <w:t>Stock</w:t>
            </w:r>
          </w:p>
        </w:tc>
        <w:tc>
          <w:tcPr>
            <w:tcW w:type="dxa" w:w="1368"/>
            <w:shd w:val="clear" w:color="auto" w:fill="1A2E55"/>
          </w:tcPr>
          <w:p>
            <w:pPr>
              <w:keepNext/>
              <w:jc w:val="right"/>
            </w:pPr>
            <w:r>
              <w:rPr>
                <w:b/>
                <w:i w:val="0"/>
                <w:color w:val="FFFFFF"/>
                <w:sz w:val="15"/>
              </w:rPr>
              <w:t>Normal 3-day swing</w:t>
            </w:r>
          </w:p>
        </w:tc>
        <w:tc>
          <w:tcPr>
            <w:tcW w:type="dxa" w:w="1440"/>
            <w:shd w:val="clear" w:color="auto" w:fill="1A2E55"/>
          </w:tcPr>
          <w:p>
            <w:pPr>
              <w:keepNext/>
            </w:pPr>
            <w:r>
              <w:rPr>
                <w:b/>
                <w:i w:val="0"/>
                <w:color w:val="FFFFFF"/>
                <w:sz w:val="15"/>
              </w:rPr>
              <w:t>Calmer than most</w:t>
            </w:r>
          </w:p>
        </w:tc>
        <w:tc>
          <w:tcPr>
            <w:tcW w:type="dxa" w:w="1440"/>
            <w:shd w:val="clear" w:color="auto" w:fill="1A2E55"/>
          </w:tcPr>
          <w:p>
            <w:pPr>
              <w:keepNext/>
            </w:pPr>
            <w:r>
              <w:rPr>
                <w:b/>
                <w:i w:val="0"/>
                <w:color w:val="FFFFFF"/>
                <w:sz w:val="15"/>
              </w:rPr>
              <w:t>Forecast lean</w:t>
            </w:r>
          </w:p>
        </w:tc>
        <w:tc>
          <w:tcPr>
            <w:tcW w:type="dxa" w:w="1008"/>
            <w:shd w:val="clear" w:color="auto" w:fill="1A2E55"/>
          </w:tcPr>
          <w:p>
            <w:pPr>
              <w:keepNext/>
              <w:jc w:val="right"/>
            </w:pPr>
            <w:r>
              <w:rPr>
                <w:b/>
                <w:i w:val="0"/>
                <w:color w:val="FFFFFF"/>
                <w:sz w:val="15"/>
              </w:rPr>
              <w:t>Chance</w:t>
            </w:r>
          </w:p>
        </w:tc>
        <w:tc>
          <w:tcPr>
            <w:tcW w:type="dxa" w:w="2016"/>
            <w:shd w:val="clear" w:color="auto" w:fill="1A2E55"/>
          </w:tcPr>
          <w:p>
            <w:pPr>
              <w:keepNext/>
            </w:pPr>
            <w:r>
              <w:rPr>
                <w:b/>
                <w:i w:val="0"/>
                <w:color w:val="FFFFFF"/>
                <w:sz w:val="15"/>
              </w:rPr>
              <w:t>Record vs simple rule</w:t>
            </w:r>
          </w:p>
        </w:tc>
      </w:tr>
      <w:tr>
        <w:tc>
          <w:tcPr>
            <w:tcW w:type="dxa" w:w="2664"/>
          </w:tcPr>
          <w:p>
            <w:pPr>
              <w:keepNext/>
            </w:pPr>
            <w:r>
              <w:rPr>
                <w:b w:val="0"/>
                <w:i w:val="0"/>
                <w:sz w:val="16"/>
              </w:rPr>
              <w:t>Mapletree Industrial</w:t>
            </w:r>
          </w:p>
        </w:tc>
        <w:tc>
          <w:tcPr>
            <w:tcW w:type="dxa" w:w="1368"/>
          </w:tcPr>
          <w:p>
            <w:pPr>
              <w:keepNext/>
              <w:jc w:val="right"/>
            </w:pPr>
            <w:r>
              <w:rPr>
                <w:b w:val="0"/>
                <w:i w:val="0"/>
                <w:sz w:val="16"/>
              </w:rPr>
              <w:t>±1.0%</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&gt;99%</w:t>
            </w:r>
          </w:p>
        </w:tc>
        <w:tc>
          <w:tcPr>
            <w:tcW w:type="dxa" w:w="2016"/>
            <w:shd w:val="clear" w:color="auto" w:fill="E4F3E4"/>
          </w:tcPr>
          <w:p>
            <w:pPr>
              <w:keepNext/>
            </w:pPr>
            <w:r>
              <w:rPr>
                <w:b/>
                <w:i w:val="0"/>
                <w:color w:val="0A6E0A"/>
                <w:sz w:val="16"/>
              </w:rPr>
              <w:t>±0 pts ✓</w:t>
            </w:r>
          </w:p>
        </w:tc>
      </w:tr>
      <w:tr>
        <w:tc>
          <w:tcPr>
            <w:tcW w:type="dxa" w:w="2664"/>
            <w:shd w:val="clear" w:color="auto" w:fill="F7F7F5"/>
          </w:tcPr>
          <w:p>
            <w:pPr>
              <w:keepNext/>
            </w:pPr>
            <w:r>
              <w:rPr>
                <w:b w:val="0"/>
                <w:i w:val="0"/>
                <w:sz w:val="16"/>
              </w:rPr>
              <w:t>Raffles Medical Group</w:t>
            </w:r>
          </w:p>
        </w:tc>
        <w:tc>
          <w:tcPr>
            <w:tcW w:type="dxa" w:w="1368"/>
            <w:shd w:val="clear" w:color="auto" w:fill="F7F7F5"/>
          </w:tcPr>
          <w:p>
            <w:pPr>
              <w:keepNext/>
              <w:jc w:val="right"/>
            </w:pPr>
            <w:r>
              <w:rPr>
                <w:b w:val="0"/>
                <w:i w:val="0"/>
                <w:sz w:val="16"/>
              </w:rPr>
              <w:t>±1.2%</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98%</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CapitaLand Integ. Comm. Trust</w:t>
            </w:r>
          </w:p>
        </w:tc>
        <w:tc>
          <w:tcPr>
            <w:tcW w:type="dxa" w:w="1368"/>
          </w:tcPr>
          <w:p>
            <w:pPr>
              <w:keepNext/>
              <w:jc w:val="right"/>
            </w:pPr>
            <w:r>
              <w:rPr>
                <w:b w:val="0"/>
                <w:i w:val="0"/>
                <w:sz w:val="16"/>
              </w:rPr>
              <w:t>±1.2%</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94%</w:t>
            </w:r>
          </w:p>
        </w:tc>
        <w:tc>
          <w:tcPr>
            <w:tcW w:type="dxa" w:w="2016"/>
            <w:shd w:val="clear" w:color="auto" w:fill="FBE1E0"/>
          </w:tcPr>
          <w:p>
            <w:pPr>
              <w:keepNext/>
            </w:pPr>
            <w:r>
              <w:rPr>
                <w:b/>
                <w:i w:val="0"/>
                <w:color w:val="A12D2C"/>
                <w:sz w:val="16"/>
              </w:rPr>
              <w:t>−12 pts ✗</w:t>
            </w:r>
          </w:p>
        </w:tc>
      </w:tr>
      <w:tr>
        <w:tc>
          <w:tcPr>
            <w:tcW w:type="dxa" w:w="2664"/>
            <w:shd w:val="clear" w:color="auto" w:fill="F7F7F5"/>
          </w:tcPr>
          <w:p>
            <w:pPr>
              <w:keepNext/>
            </w:pPr>
            <w:r>
              <w:rPr>
                <w:b w:val="0"/>
                <w:i w:val="0"/>
                <w:sz w:val="16"/>
              </w:rPr>
              <w:t>Ascendas REIT</w:t>
            </w:r>
          </w:p>
        </w:tc>
        <w:tc>
          <w:tcPr>
            <w:tcW w:type="dxa" w:w="1368"/>
            <w:shd w:val="clear" w:color="auto" w:fill="F7F7F5"/>
          </w:tcPr>
          <w:p>
            <w:pPr>
              <w:keepNext/>
              <w:jc w:val="right"/>
            </w:pPr>
            <w:r>
              <w:rPr>
                <w:b w:val="0"/>
                <w:i w:val="0"/>
                <w:sz w:val="16"/>
              </w:rPr>
              <w:t>±1.2%</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85%</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ComfortDelGro</w:t>
            </w:r>
          </w:p>
        </w:tc>
        <w:tc>
          <w:tcPr>
            <w:tcW w:type="dxa" w:w="1368"/>
          </w:tcPr>
          <w:p>
            <w:pPr>
              <w:keepNext/>
              <w:jc w:val="right"/>
            </w:pPr>
            <w:r>
              <w:rPr>
                <w:b w:val="0"/>
                <w:i w:val="0"/>
                <w:sz w:val="16"/>
              </w:rPr>
              <w:t>±1.3%</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98%</w:t>
            </w:r>
          </w:p>
        </w:tc>
        <w:tc>
          <w:tcPr>
            <w:tcW w:type="dxa" w:w="2016"/>
            <w:shd w:val="clear" w:color="auto" w:fill="FBE1E0"/>
          </w:tcPr>
          <w:p>
            <w:pPr>
              <w:keepNext/>
            </w:pPr>
            <w:r>
              <w:rPr>
                <w:b/>
                <w:i w:val="0"/>
                <w:color w:val="A12D2C"/>
                <w:sz w:val="16"/>
              </w:rPr>
              <w:t>−31 pts ✗</w:t>
            </w:r>
          </w:p>
        </w:tc>
      </w:tr>
      <w:tr>
        <w:tc>
          <w:tcPr>
            <w:tcW w:type="dxa" w:w="2664"/>
            <w:shd w:val="clear" w:color="auto" w:fill="F7F7F5"/>
          </w:tcPr>
          <w:p>
            <w:pPr>
              <w:keepNext/>
            </w:pPr>
            <w:r>
              <w:rPr>
                <w:b w:val="0"/>
                <w:i w:val="0"/>
                <w:sz w:val="16"/>
              </w:rPr>
              <w:t>DBS Group</w:t>
            </w:r>
          </w:p>
        </w:tc>
        <w:tc>
          <w:tcPr>
            <w:tcW w:type="dxa" w:w="1368"/>
            <w:shd w:val="clear" w:color="auto" w:fill="F7F7F5"/>
          </w:tcPr>
          <w:p>
            <w:pPr>
              <w:keepNext/>
              <w:jc w:val="right"/>
            </w:pPr>
            <w:r>
              <w:rPr>
                <w:b w:val="0"/>
                <w:i w:val="0"/>
                <w:sz w:val="16"/>
              </w:rPr>
              <w:t>±1.3%</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A12D2C"/>
                <w:sz w:val="16"/>
              </w:rPr>
              <w:t>Fall</w:t>
            </w:r>
          </w:p>
        </w:tc>
        <w:tc>
          <w:tcPr>
            <w:tcW w:type="dxa" w:w="1008"/>
            <w:shd w:val="clear" w:color="auto" w:fill="F7F7F5"/>
          </w:tcPr>
          <w:p>
            <w:pPr>
              <w:keepNext/>
              <w:jc w:val="right"/>
            </w:pPr>
            <w:r>
              <w:rPr>
                <w:b w:val="0"/>
                <w:i w:val="0"/>
                <w:sz w:val="16"/>
              </w:rPr>
              <w:t>94%</w:t>
            </w:r>
          </w:p>
        </w:tc>
        <w:tc>
          <w:tcPr>
            <w:tcW w:type="dxa" w:w="2016"/>
            <w:shd w:val="clear" w:color="auto" w:fill="FBE1E0"/>
          </w:tcPr>
          <w:p>
            <w:pPr>
              <w:keepNext/>
            </w:pPr>
            <w:r>
              <w:rPr>
                <w:b/>
                <w:i w:val="0"/>
                <w:color w:val="A12D2C"/>
                <w:sz w:val="16"/>
              </w:rPr>
              <w:t>−19 pts ✗</w:t>
            </w:r>
          </w:p>
        </w:tc>
      </w:tr>
      <w:tr>
        <w:tc>
          <w:tcPr>
            <w:tcW w:type="dxa" w:w="2664"/>
          </w:tcPr>
          <w:p>
            <w:pPr>
              <w:keepNext/>
            </w:pPr>
            <w:r>
              <w:rPr>
                <w:b w:val="0"/>
                <w:i w:val="0"/>
                <w:sz w:val="16"/>
              </w:rPr>
              <w:t>ST Engineering</w:t>
            </w:r>
          </w:p>
        </w:tc>
        <w:tc>
          <w:tcPr>
            <w:tcW w:type="dxa" w:w="1368"/>
          </w:tcPr>
          <w:p>
            <w:pPr>
              <w:keepNext/>
              <w:jc w:val="right"/>
            </w:pPr>
            <w:r>
              <w:rPr>
                <w:b w:val="0"/>
                <w:i w:val="0"/>
                <w:sz w:val="16"/>
              </w:rPr>
              <w:t>±1.5%</w:t>
            </w:r>
          </w:p>
        </w:tc>
        <w:tc>
          <w:tcPr>
            <w:tcW w:type="dxa" w:w="1440"/>
          </w:tcPr>
          <w:p>
            <w:pPr>
              <w:keepNext/>
            </w:pPr>
            <w:r>
              <w:rPr>
                <w:b w:val="0"/>
                <w:i w:val="0"/>
                <w:sz w:val="16"/>
              </w:rPr>
            </w:r>
          </w:p>
        </w:tc>
        <w:tc>
          <w:tcPr>
            <w:tcW w:type="dxa" w:w="1440"/>
          </w:tcPr>
          <w:p>
            <w:pPr>
              <w:keepNext/>
            </w:pPr>
            <w:r>
              <w:rPr>
                <w:b w:val="0"/>
                <w:i w:val="0"/>
                <w:color w:val="A12D2C"/>
                <w:sz w:val="16"/>
              </w:rPr>
              <w:t>Fall</w:t>
            </w:r>
          </w:p>
        </w:tc>
        <w:tc>
          <w:tcPr>
            <w:tcW w:type="dxa" w:w="1008"/>
          </w:tcPr>
          <w:p>
            <w:pPr>
              <w:keepNext/>
              <w:jc w:val="right"/>
            </w:pPr>
            <w:r>
              <w:rPr>
                <w:b w:val="0"/>
                <w:i w:val="0"/>
                <w:sz w:val="16"/>
              </w:rPr>
              <w:t>48%</w:t>
            </w:r>
          </w:p>
        </w:tc>
        <w:tc>
          <w:tcPr>
            <w:tcW w:type="dxa" w:w="2016"/>
            <w:shd w:val="clear" w:color="auto" w:fill="E4F3E4"/>
          </w:tcPr>
          <w:p>
            <w:pPr>
              <w:keepNext/>
            </w:pPr>
            <w:r>
              <w:rPr>
                <w:b/>
                <w:i w:val="0"/>
                <w:color w:val="0A6E0A"/>
                <w:sz w:val="16"/>
              </w:rPr>
              <w:t>+6 pts ✓</w:t>
            </w:r>
          </w:p>
        </w:tc>
      </w:tr>
      <w:tr>
        <w:tc>
          <w:tcPr>
            <w:tcW w:type="dxa" w:w="2664"/>
            <w:shd w:val="clear" w:color="auto" w:fill="F7F7F5"/>
          </w:tcPr>
          <w:p>
            <w:pPr>
              <w:keepNext/>
            </w:pPr>
            <w:r>
              <w:rPr>
                <w:b w:val="0"/>
                <w:i w:val="0"/>
                <w:sz w:val="16"/>
              </w:rPr>
              <w:t>Singtel</w:t>
            </w:r>
          </w:p>
        </w:tc>
        <w:tc>
          <w:tcPr>
            <w:tcW w:type="dxa" w:w="1368"/>
            <w:shd w:val="clear" w:color="auto" w:fill="F7F7F5"/>
          </w:tcPr>
          <w:p>
            <w:pPr>
              <w:keepNext/>
              <w:jc w:val="right"/>
            </w:pPr>
            <w:r>
              <w:rPr>
                <w:b w:val="0"/>
                <w:i w:val="0"/>
                <w:sz w:val="16"/>
              </w:rPr>
              <w:t>±1.5%</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A12D2C"/>
                <w:sz w:val="16"/>
              </w:rPr>
              <w:t>Fall</w:t>
            </w:r>
          </w:p>
        </w:tc>
        <w:tc>
          <w:tcPr>
            <w:tcW w:type="dxa" w:w="1008"/>
            <w:shd w:val="clear" w:color="auto" w:fill="F7F7F5"/>
          </w:tcPr>
          <w:p>
            <w:pPr>
              <w:keepNext/>
              <w:jc w:val="right"/>
            </w:pPr>
            <w:r>
              <w:rPr>
                <w:b w:val="0"/>
                <w:i w:val="0"/>
                <w:sz w:val="16"/>
              </w:rPr>
              <w:t>89%</w:t>
            </w:r>
          </w:p>
        </w:tc>
        <w:tc>
          <w:tcPr>
            <w:tcW w:type="dxa" w:w="2016"/>
            <w:shd w:val="clear" w:color="auto" w:fill="FBE1E0"/>
          </w:tcPr>
          <w:p>
            <w:pPr>
              <w:keepNext/>
            </w:pPr>
            <w:r>
              <w:rPr>
                <w:b/>
                <w:i w:val="0"/>
                <w:color w:val="A12D2C"/>
                <w:sz w:val="16"/>
              </w:rPr>
              <w:t>−25 pts ✗</w:t>
            </w:r>
          </w:p>
        </w:tc>
      </w:tr>
      <w:tr>
        <w:tc>
          <w:tcPr>
            <w:tcW w:type="dxa" w:w="2664"/>
          </w:tcPr>
          <w:p>
            <w:pPr>
              <w:keepNext/>
            </w:pPr>
            <w:r>
              <w:rPr>
                <w:b w:val="0"/>
                <w:i w:val="0"/>
                <w:sz w:val="16"/>
              </w:rPr>
              <w:t>Mapletree Pan Asia Comm. Trust</w:t>
            </w:r>
          </w:p>
        </w:tc>
        <w:tc>
          <w:tcPr>
            <w:tcW w:type="dxa" w:w="1368"/>
          </w:tcPr>
          <w:p>
            <w:pPr>
              <w:keepNext/>
              <w:jc w:val="right"/>
            </w:pPr>
            <w:r>
              <w:rPr>
                <w:b w:val="0"/>
                <w:i w:val="0"/>
                <w:sz w:val="16"/>
              </w:rPr>
              <w:t>±1.6%</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91%</w:t>
            </w:r>
          </w:p>
        </w:tc>
        <w:tc>
          <w:tcPr>
            <w:tcW w:type="dxa" w:w="2016"/>
            <w:shd w:val="clear" w:color="auto" w:fill="FBE1E0"/>
          </w:tcPr>
          <w:p>
            <w:pPr>
              <w:keepNext/>
            </w:pPr>
            <w:r>
              <w:rPr>
                <w:b/>
                <w:i w:val="0"/>
                <w:color w:val="A12D2C"/>
                <w:sz w:val="16"/>
              </w:rPr>
              <w:t>−12 pts ✗</w:t>
            </w:r>
          </w:p>
        </w:tc>
      </w:tr>
      <w:tr>
        <w:tc>
          <w:tcPr>
            <w:tcW w:type="dxa" w:w="2664"/>
            <w:shd w:val="clear" w:color="auto" w:fill="F7F7F5"/>
          </w:tcPr>
          <w:p>
            <w:pPr>
              <w:keepNext/>
            </w:pPr>
            <w:r>
              <w:rPr>
                <w:b w:val="0"/>
                <w:i w:val="0"/>
                <w:sz w:val="16"/>
              </w:rPr>
              <w:t>Wilmar Intl</w:t>
            </w:r>
          </w:p>
        </w:tc>
        <w:tc>
          <w:tcPr>
            <w:tcW w:type="dxa" w:w="1368"/>
            <w:shd w:val="clear" w:color="auto" w:fill="F7F7F5"/>
          </w:tcPr>
          <w:p>
            <w:pPr>
              <w:keepNext/>
              <w:jc w:val="right"/>
            </w:pPr>
            <w:r>
              <w:rPr>
                <w:b w:val="0"/>
                <w:i w:val="0"/>
                <w:sz w:val="16"/>
              </w:rPr>
              <w:t>±1.8%</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54%</w:t>
            </w:r>
          </w:p>
        </w:tc>
        <w:tc>
          <w:tcPr>
            <w:tcW w:type="dxa" w:w="2016"/>
            <w:shd w:val="clear" w:color="auto" w:fill="E4F3E4"/>
          </w:tcPr>
          <w:p>
            <w:pPr>
              <w:keepNext/>
            </w:pPr>
            <w:r>
              <w:rPr>
                <w:b/>
                <w:i w:val="0"/>
                <w:color w:val="0A6E0A"/>
                <w:sz w:val="16"/>
              </w:rPr>
              <w:t>+19 pts ✓</w:t>
            </w:r>
          </w:p>
        </w:tc>
      </w:tr>
      <w:tr>
        <w:tc>
          <w:tcPr>
            <w:tcW w:type="dxa" w:w="2664"/>
          </w:tcPr>
          <w:p>
            <w:pPr>
              <w:keepNext/>
            </w:pPr>
            <w:r>
              <w:rPr>
                <w:b w:val="0"/>
                <w:i w:val="0"/>
                <w:sz w:val="16"/>
              </w:rPr>
              <w:t>Keppel Corp</w:t>
            </w:r>
          </w:p>
        </w:tc>
        <w:tc>
          <w:tcPr>
            <w:tcW w:type="dxa" w:w="1368"/>
          </w:tcPr>
          <w:p>
            <w:pPr>
              <w:keepNext/>
              <w:jc w:val="right"/>
            </w:pPr>
            <w:r>
              <w:rPr>
                <w:b w:val="0"/>
                <w:i w:val="0"/>
                <w:sz w:val="16"/>
              </w:rPr>
              <w:t>±1.8%</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97%</w:t>
            </w:r>
          </w:p>
        </w:tc>
        <w:tc>
          <w:tcPr>
            <w:tcW w:type="dxa" w:w="2016"/>
            <w:shd w:val="clear" w:color="auto" w:fill="FBE1E0"/>
          </w:tcPr>
          <w:p>
            <w:pPr>
              <w:keepNext/>
            </w:pPr>
            <w:r>
              <w:rPr>
                <w:b/>
                <w:i w:val="0"/>
                <w:color w:val="A12D2C"/>
                <w:sz w:val="16"/>
              </w:rPr>
              <w:t>−6 pts ✗</w:t>
            </w:r>
          </w:p>
        </w:tc>
      </w:tr>
      <w:tr>
        <w:tc>
          <w:tcPr>
            <w:tcW w:type="dxa" w:w="2664"/>
            <w:shd w:val="clear" w:color="auto" w:fill="F7F7F5"/>
          </w:tcPr>
          <w:p>
            <w:pPr>
              <w:keepNext/>
            </w:pPr>
            <w:r>
              <w:rPr>
                <w:b w:val="0"/>
                <w:i w:val="0"/>
                <w:sz w:val="16"/>
              </w:rPr>
              <w:t>UOB</w:t>
            </w:r>
          </w:p>
        </w:tc>
        <w:tc>
          <w:tcPr>
            <w:tcW w:type="dxa" w:w="1368"/>
            <w:shd w:val="clear" w:color="auto" w:fill="F7F7F5"/>
          </w:tcPr>
          <w:p>
            <w:pPr>
              <w:keepNext/>
              <w:jc w:val="right"/>
            </w:pPr>
            <w:r>
              <w:rPr>
                <w:b w:val="0"/>
                <w:i w:val="0"/>
                <w:sz w:val="16"/>
              </w:rPr>
              <w:t>±1.9%</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88%</w:t>
            </w:r>
          </w:p>
        </w:tc>
        <w:tc>
          <w:tcPr>
            <w:tcW w:type="dxa" w:w="2016"/>
            <w:shd w:val="clear" w:color="auto" w:fill="FBE1E0"/>
          </w:tcPr>
          <w:p>
            <w:pPr>
              <w:keepNext/>
            </w:pPr>
            <w:r>
              <w:rPr>
                <w:b/>
                <w:i w:val="0"/>
                <w:color w:val="A12D2C"/>
                <w:sz w:val="16"/>
              </w:rPr>
              <w:t>−25 pts ✗</w:t>
            </w:r>
          </w:p>
        </w:tc>
      </w:tr>
      <w:tr>
        <w:tc>
          <w:tcPr>
            <w:tcW w:type="dxa" w:w="2664"/>
          </w:tcPr>
          <w:p>
            <w:pPr>
              <w:keepNext/>
            </w:pPr>
            <w:r>
              <w:rPr>
                <w:b w:val="0"/>
                <w:i w:val="0"/>
                <w:sz w:val="16"/>
              </w:rPr>
              <w:t>OCBC Bank</w:t>
            </w:r>
          </w:p>
        </w:tc>
        <w:tc>
          <w:tcPr>
            <w:tcW w:type="dxa" w:w="1368"/>
          </w:tcPr>
          <w:p>
            <w:pPr>
              <w:keepNext/>
              <w:jc w:val="right"/>
            </w:pPr>
            <w:r>
              <w:rPr>
                <w:b w:val="0"/>
                <w:i w:val="0"/>
                <w:sz w:val="16"/>
              </w:rPr>
              <w:t>±2.0%</w:t>
            </w:r>
          </w:p>
        </w:tc>
        <w:tc>
          <w:tcPr>
            <w:tcW w:type="dxa" w:w="1440"/>
          </w:tcPr>
          <w:p>
            <w:pPr>
              <w:keepNext/>
            </w:pPr>
            <w:r>
              <w:rPr>
                <w:b w:val="0"/>
                <w:i w:val="0"/>
                <w:sz w:val="16"/>
              </w:rPr>
            </w:r>
          </w:p>
        </w:tc>
        <w:tc>
          <w:tcPr>
            <w:tcW w:type="dxa" w:w="1440"/>
          </w:tcPr>
          <w:p>
            <w:pPr>
              <w:keepNext/>
            </w:pPr>
            <w:r>
              <w:rPr>
                <w:b w:val="0"/>
                <w:i w:val="0"/>
                <w:color w:val="1C5CAB"/>
                <w:sz w:val="16"/>
              </w:rPr>
              <w:t>Rise</w:t>
            </w:r>
          </w:p>
        </w:tc>
        <w:tc>
          <w:tcPr>
            <w:tcW w:type="dxa" w:w="1008"/>
          </w:tcPr>
          <w:p>
            <w:pPr>
              <w:keepNext/>
              <w:jc w:val="right"/>
            </w:pPr>
            <w:r>
              <w:rPr>
                <w:b w:val="0"/>
                <w:i w:val="0"/>
                <w:sz w:val="16"/>
              </w:rPr>
              <w:t>91%</w:t>
            </w:r>
          </w:p>
        </w:tc>
        <w:tc>
          <w:tcPr>
            <w:tcW w:type="dxa" w:w="2016"/>
            <w:shd w:val="clear" w:color="auto" w:fill="FBE1E0"/>
          </w:tcPr>
          <w:p>
            <w:pPr>
              <w:keepNext/>
            </w:pPr>
            <w:r>
              <w:rPr>
                <w:b/>
                <w:i w:val="0"/>
                <w:color w:val="A12D2C"/>
                <w:sz w:val="16"/>
              </w:rPr>
              <w:t>−25 pts ✗</w:t>
            </w:r>
          </w:p>
        </w:tc>
      </w:tr>
      <w:tr>
        <w:tc>
          <w:tcPr>
            <w:tcW w:type="dxa" w:w="2664"/>
            <w:shd w:val="clear" w:color="auto" w:fill="F7F7F5"/>
          </w:tcPr>
          <w:p>
            <w:pPr>
              <w:keepNext/>
            </w:pPr>
            <w:r>
              <w:rPr>
                <w:b w:val="0"/>
                <w:i w:val="0"/>
                <w:sz w:val="16"/>
              </w:rPr>
              <w:t>Sembcorp Industries</w:t>
            </w:r>
          </w:p>
        </w:tc>
        <w:tc>
          <w:tcPr>
            <w:tcW w:type="dxa" w:w="1368"/>
            <w:shd w:val="clear" w:color="auto" w:fill="F7F7F5"/>
          </w:tcPr>
          <w:p>
            <w:pPr>
              <w:keepNext/>
              <w:jc w:val="right"/>
            </w:pPr>
            <w:r>
              <w:rPr>
                <w:b w:val="0"/>
                <w:i w:val="0"/>
                <w:sz w:val="16"/>
              </w:rPr>
              <w:t>±2.0%</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57%</w:t>
            </w:r>
          </w:p>
        </w:tc>
        <w:tc>
          <w:tcPr>
            <w:tcW w:type="dxa" w:w="2016"/>
            <w:shd w:val="clear" w:color="auto" w:fill="E4F3E4"/>
          </w:tcPr>
          <w:p>
            <w:pPr>
              <w:keepNext/>
            </w:pPr>
            <w:r>
              <w:rPr>
                <w:b/>
                <w:i w:val="0"/>
                <w:color w:val="0A6E0A"/>
                <w:sz w:val="16"/>
              </w:rPr>
              <w:t>+12 pts ✓</w:t>
            </w:r>
          </w:p>
        </w:tc>
      </w:tr>
      <w:tr>
        <w:tc>
          <w:tcPr>
            <w:tcW w:type="dxa" w:w="2664"/>
          </w:tcPr>
          <w:p>
            <w:r>
              <w:rPr>
                <w:b w:val="0"/>
                <w:i w:val="0"/>
                <w:sz w:val="16"/>
              </w:rPr>
              <w:t>SGX Group</w:t>
            </w:r>
          </w:p>
        </w:tc>
        <w:tc>
          <w:tcPr>
            <w:tcW w:type="dxa" w:w="1368"/>
          </w:tcPr>
          <w:p>
            <w:pPr>
              <w:jc w:val="right"/>
            </w:pPr>
            <w:r>
              <w:rPr>
                <w:b w:val="0"/>
                <w:i w:val="0"/>
                <w:sz w:val="16"/>
              </w:rPr>
              <w:t>±2.7%</w:t>
            </w:r>
          </w:p>
        </w:tc>
        <w:tc>
          <w:tcPr>
            <w:tcW w:type="dxa" w:w="1440"/>
          </w:tcPr>
          <w:p>
            <w:r>
              <w:rPr>
                <w:b w:val="0"/>
                <w:i w:val="0"/>
                <w:sz w:val="16"/>
              </w:rPr>
            </w:r>
          </w:p>
        </w:tc>
        <w:tc>
          <w:tcPr>
            <w:tcW w:type="dxa" w:w="1440"/>
          </w:tcPr>
          <w:p>
            <w:r>
              <w:rPr>
                <w:b w:val="0"/>
                <w:i w:val="0"/>
                <w:color w:val="A12D2C"/>
                <w:sz w:val="16"/>
              </w:rPr>
              <w:t>Fall</w:t>
            </w:r>
          </w:p>
        </w:tc>
        <w:tc>
          <w:tcPr>
            <w:tcW w:type="dxa" w:w="1008"/>
          </w:tcPr>
          <w:p>
            <w:pPr>
              <w:jc w:val="right"/>
            </w:pPr>
            <w:r>
              <w:rPr>
                <w:b w:val="0"/>
                <w:i w:val="0"/>
                <w:sz w:val="16"/>
              </w:rPr>
              <w:t>64%</w:t>
            </w:r>
          </w:p>
        </w:tc>
        <w:tc>
          <w:tcPr>
            <w:tcW w:type="dxa" w:w="2016"/>
            <w:shd w:val="clear" w:color="auto" w:fill="FBE1E0"/>
          </w:tcPr>
          <w:p>
            <w:r>
              <w:rPr>
                <w:b/>
                <w:i w:val="0"/>
                <w:color w:val="A12D2C"/>
                <w:sz w:val="16"/>
              </w:rPr>
              <w:t>−19 pts ✗</w:t>
            </w:r>
          </w:p>
        </w:tc>
      </w:tr>
    </w:tbl>
    <w:p>
      <w:pPr>
        <w:spacing w:after="40"/>
      </w:pPr>
      <w:r>
        <w:rPr>
          <w:b w:val="0"/>
          <w:i w:val="0"/>
          <w:color w:val="52514E"/>
          <w:sz w:val="14"/>
        </w:rPr>
        <w:t>Normal 3-day swing: about 2 times in 3 the 3-day change stays inside it (last 20 trading days). Calmer than most: the five highest chances of no big move. Forecast lean: the model's most likely 3-day outcome (rise above +1.04%, fall below −1.04%, otherwise no big move) and the probability it gave. Record vs simple rule: percentage points more (or fewer) of its calls on this stock that were right over the last 30 days than always guessing the stock's most common past outcome; ✓ no more than 5 points behind, ✗ further behind. Sorted calmest first.</w:t>
      </w:r>
    </w:p>
    <w:p>
      <w:pPr>
        <w:keepNext/>
        <w:spacing w:before="120" w:after="20"/>
      </w:pPr>
      <w:r>
        <w:rPr>
          <w:b/>
          <w:i w:val="0"/>
          <w:color w:val="1A2E55"/>
          <w:sz w:val="21"/>
        </w:rPr>
        <w:t>What these numbers are worth</w:t>
      </w:r>
    </w:p>
    <w:p>
      <w:pPr>
        <w:pStyle w:val="ListBullet"/>
        <w:spacing w:after="40"/>
      </w:pPr>
      <w:r>
        <w:rPr>
          <w:b/>
          <w:i w:val="0"/>
          <w:color w:val="1A2E55"/>
          <w:sz w:val="17"/>
        </w:rPr>
        <w:t xml:space="preserve">Normal 3-day swing. </w:t>
      </w:r>
      <w:r>
        <w:rPr>
          <w:b w:val="0"/>
          <w:i w:val="0"/>
          <w:sz w:val="17"/>
        </w:rPr>
        <w:t>Held 74% of the time in 420 tests (about 68% expected). Use it as a yardstick: a 3-day move bigger than a stock's swing is unusual for that stock and worth checking the news for; it is not a signal by itself.</w:t>
      </w:r>
    </w:p>
    <w:p>
      <w:pPr>
        <w:pStyle w:val="ListBullet"/>
        <w:spacing w:after="40"/>
      </w:pPr>
      <w:r>
        <w:rPr>
          <w:b/>
          <w:i w:val="0"/>
          <w:color w:val="1A2E55"/>
          <w:sz w:val="17"/>
        </w:rPr>
        <w:t xml:space="preserve">Calmer than most. </w:t>
      </w:r>
      <w:r>
        <w:rPr>
          <w:b w:val="0"/>
          <w:i w:val="0"/>
          <w:sz w:val="17"/>
        </w:rPr>
        <w:t>Mapletree Industrial, Raffles Medical Group, ComfortDelGro, Keppel Corp and CapitaLand Integ. Comm. Trust: the five with the highest chance of no big move. In tests over 31 trading days, the five picked this way moved more than 1% about 4 in 10 times, the other ten about 6 in 10 times. If you prefer less day-to-day movement, these have moved least often.</w:t>
      </w:r>
    </w:p>
    <w:p>
      <w:pPr>
        <w:pStyle w:val="ListBullet"/>
        <w:spacing w:after="40"/>
      </w:pPr>
      <w:r>
        <w:rPr>
          <w:b/>
          <w:i w:val="0"/>
          <w:color w:val="1A2E55"/>
          <w:sz w:val="17"/>
        </w:rPr>
        <w:t xml:space="preserve">Up-or-down lean. </w:t>
      </w:r>
      <w:r>
        <w:rPr>
          <w:b w:val="0"/>
          <w:i w:val="0"/>
          <w:sz w:val="17"/>
        </w:rPr>
        <w:t>Not reliable: right 39% of 255 past calls, against 54% for always guessing 'no big move'. Calls marked ✓ were right 46%, the rest 32%, but the gain is in 'no big move' calls (59% right); ✓ rise-or-fall calls were right only 22% of 46, so a ✓ never makes a direction likely. Before its probabilities were refitted, chances of 90% or more were right only 35% of the time.</w:t>
      </w:r>
    </w:p>
    <w:p>
      <w:pPr>
        <w:keepNext/>
        <w:pageBreakBefore/>
        <w:spacing w:before="0" w:after="40"/>
        <w:pBdr>
          <w:bottom w:val="single" w:sz="6" w:space="2" w:color="CDE2FB"/>
        </w:pBdr>
      </w:pPr>
      <w:r>
        <w:rPr>
          <w:b/>
          <w:i w:val="0"/>
          <w:color w:val="1A2E55"/>
          <w:sz w:val="26"/>
        </w:rPr>
        <w:t>4 · The system behind this report</w:t>
      </w:r>
    </w:p>
    <w:p>
      <w:pPr>
        <w:keepNext/>
      </w:pPr>
      <w:r>
        <w:rPr>
          <w:b w:val="0"/>
          <w:i w:val="0"/>
          <w:color w:val="52514E"/>
          <w:sz w:val="17"/>
        </w:rPr>
        <w:t>Four stages run in sequence after every close. Every number on the pages above comes from one of them; nothing is written by hand.</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35" w:type="dxa"/>
          <w:bottom w:w="35" w:type="dxa"/>
          <w:left w:w="70" w:type="dxa"/>
          <w:right w:w="70" w:type="dxa"/>
        </w:tblCellMar>
      </w:tblPr>
      <w:tblGrid>
        <w:gridCol w:w="1872"/>
        <w:gridCol w:w="8064"/>
      </w:tblGrid>
      <w:tr>
        <w:tc>
          <w:tcPr>
            <w:tcW w:type="dxa" w:w="1872"/>
            <w:shd w:val="clear" w:color="auto" w:fill="1A2E55"/>
          </w:tcPr>
          <w:p>
            <w:r>
              <w:rPr>
                <w:b/>
                <w:i w:val="0"/>
                <w:color w:val="FFFFFF"/>
                <w:sz w:val="15"/>
              </w:rPr>
              <w:t>Stage</w:t>
            </w:r>
          </w:p>
        </w:tc>
        <w:tc>
          <w:tcPr>
            <w:tcW w:type="dxa" w:w="8064"/>
            <w:shd w:val="clear" w:color="auto" w:fill="1A2E55"/>
          </w:tcPr>
          <w:p>
            <w:r>
              <w:rPr>
                <w:b/>
                <w:i w:val="0"/>
                <w:color w:val="FFFFFF"/>
                <w:sz w:val="15"/>
              </w:rPr>
              <w:t>What it does for this report</w:t>
            </w:r>
          </w:p>
        </w:tc>
      </w:tr>
      <w:tr>
        <w:tc>
          <w:tcPr>
            <w:tcW w:type="dxa" w:w="1872"/>
          </w:tcPr>
          <w:p>
            <w:r>
              <w:rPr>
                <w:b/>
                <w:i w:val="0"/>
                <w:sz w:val="16"/>
              </w:rPr>
              <w:t>1 · Collect the day's facts</w:t>
            </w:r>
          </w:p>
        </w:tc>
        <w:tc>
          <w:tcPr>
            <w:tcW w:type="dxa" w:w="8064"/>
          </w:tcPr>
          <w:p>
            <w:r>
              <w:rPr>
                <w:b w:val="0"/>
                <w:i w:val="0"/>
                <w:sz w:val="16"/>
              </w:rPr>
              <w:t>Today's raw facts. 519 company news articles (each read as positive, negative or neutral by FinBERT, a finance language model) and 72 political articles; price-chart indicators (RSI, MACD, Bollinger bands, VWAP, weekly trend); the market backdrop (VIX 16.0, US yield spread); Singapore ETF options positioning (put/call 1.98).</w:t>
            </w:r>
          </w:p>
        </w:tc>
      </w:tr>
      <w:tr>
        <w:tc>
          <w:tcPr>
            <w:tcW w:type="dxa" w:w="1872"/>
            <w:shd w:val="clear" w:color="auto" w:fill="F7F7F5"/>
          </w:tcPr>
          <w:p>
            <w:r>
              <w:rPr>
                <w:b/>
                <w:i w:val="0"/>
                <w:sz w:val="16"/>
              </w:rPr>
              <w:t>2 · Read the news and signals</w:t>
            </w:r>
          </w:p>
        </w:tc>
        <w:tc>
          <w:tcPr>
            <w:tcW w:type="dxa" w:w="8064"/>
            <w:shd w:val="clear" w:color="auto" w:fill="F7F7F5"/>
          </w:tcPr>
          <w:p>
            <w:r>
              <w:rPr>
                <w:b w:val="0"/>
                <w:i w:val="0"/>
                <w:sz w:val="16"/>
              </w:rPr>
              <w:t>What the news and indicators say on top of the price itself: one reading per stock (sections 1–2), built in four layers. (1) Weighted rules score the day's evidence — the scores and rules on the cards. (2) Two independent machine-learning models re-read the same inputs as a second opinion. (3) A contradiction check compares all layers and flags internally mixed readings (named on the cards when strongly mixed). (4) An AI writer (an open-source model served by Groq) drafts the news summary; it may only phrase what the rules computed, and a summary that fails the checks is replaced by a fixed template.</w:t>
            </w:r>
          </w:p>
        </w:tc>
      </w:tr>
      <w:tr>
        <w:tc>
          <w:tcPr>
            <w:tcW w:type="dxa" w:w="1872"/>
          </w:tcPr>
          <w:p>
            <w:r>
              <w:rPr>
                <w:b/>
                <w:i w:val="0"/>
                <w:sz w:val="16"/>
              </w:rPr>
              <w:t>3 · Forecast the next 3 days</w:t>
            </w:r>
          </w:p>
        </w:tc>
        <w:tc>
          <w:tcPr>
            <w:tcW w:type="dxa" w:w="8064"/>
          </w:tcPr>
          <w:p>
            <w:r>
              <w:rPr>
                <w:b w:val="0"/>
                <w:i w:val="0"/>
                <w:sz w:val="16"/>
              </w:rPr>
              <w:t>The 3-day forecast and chance for every stock (section 3). Three model families (logistic regression, random forest, XGBoost) are re-evaluated every week in a champion–challenger setup. A replay of that weekly choice under 15 settings moved accuracy only between 53.8% and 54.6% (0–4 switches), and the pooled winner led per stock on just 4 of 15: switching added churn, not accuracy. The serving model is therefore pinned (random forest) and the weekly evaluation is kept as monitoring. Each forecast carries its own per-stock record — the ✓ / ✗ column.</w:t>
            </w:r>
          </w:p>
        </w:tc>
      </w:tr>
      <w:tr>
        <w:tc>
          <w:tcPr>
            <w:tcW w:type="dxa" w:w="1872"/>
            <w:shd w:val="clear" w:color="auto" w:fill="F7F7F5"/>
          </w:tcPr>
          <w:p>
            <w:r>
              <w:rPr>
                <w:b/>
                <w:i w:val="0"/>
                <w:sz w:val="16"/>
              </w:rPr>
              <w:t>4 · Check and write the report</w:t>
            </w:r>
          </w:p>
        </w:tc>
        <w:tc>
          <w:tcPr>
            <w:tcW w:type="dxa" w:w="8064"/>
            <w:shd w:val="clear" w:color="auto" w:fill="F7F7F5"/>
          </w:tcPr>
          <w:p>
            <w:r>
              <w:rPr>
                <w:b w:val="0"/>
                <w:i w:val="0"/>
                <w:sz w:val="16"/>
              </w:rPr>
              <w:t>Sorts each stock into one of 11 patterns (below; shown on the cards and table in plain words as 'price vs news'), flags what deserves a closer look (⚑), picks the cards, and draws the day's market read: where the moves were, whether company news, the sector or the whole market moved with them, and what the backdrop and the forecast add. Every kind of statement carries its tested record (section 5). An AI writer, the same model as stage 2, rewrites the code-written market read in plainer words and drafts each card's 'In short' line. It may not write a single digit (code fills in every number), and a draft that breaks any rule — no advice, no targets, no claimed certainty, no number or stock it was not given, no rise word next to a fall, no claim that the news explains a move the report says it does not, no more than little weight on the forecast, no figure in words, no claim against the stored price facts — is replaced by the template text.</w:t>
            </w:r>
          </w:p>
        </w:tc>
      </w:tr>
    </w:tbl>
    <w:p>
      <w:pPr>
        <w:spacing w:after="40"/>
      </w:pPr>
      <w:r>
        <w:rPr>
          <w:b w:val="0"/>
          <w:i w:val="0"/>
          <w:color w:val="52514E"/>
          <w:sz w:val="15"/>
        </w:rPr>
        <w:t>AI-written text in this report: the market read and 'In short' lines (stage 4) and the news summaries (stage 2), all checked; every number, table and verdict is computed by code. In the project's documentation the four stages are Tasks 1–4, 5, 6 and 7.</w:t>
      </w:r>
    </w:p>
    <w:p>
      <w:pPr>
        <w:keepNext/>
        <w:spacing w:before="120" w:after="20"/>
      </w:pPr>
      <w:r>
        <w:rPr>
          <w:b/>
          <w:i w:val="0"/>
          <w:color w:val="1A2E55"/>
          <w:sz w:val="21"/>
        </w:rPr>
        <w:t>Today's patterns: how news, price and forecast line up</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1800"/>
        <w:gridCol w:w="3312"/>
        <w:gridCol w:w="4824"/>
      </w:tblGrid>
      <w:tr>
        <w:tc>
          <w:tcPr>
            <w:tcW w:type="dxa" w:w="1800"/>
            <w:shd w:val="clear" w:color="auto" w:fill="1A2E55"/>
          </w:tcPr>
          <w:p>
            <w:r>
              <w:rPr>
                <w:b/>
                <w:i w:val="0"/>
                <w:color w:val="FFFFFF"/>
                <w:sz w:val="14"/>
              </w:rPr>
              <w:t>Pattern</w:t>
            </w:r>
          </w:p>
        </w:tc>
        <w:tc>
          <w:tcPr>
            <w:tcW w:type="dxa" w:w="3312"/>
            <w:shd w:val="clear" w:color="auto" w:fill="1A2E55"/>
          </w:tcPr>
          <w:p>
            <w:r>
              <w:rPr>
                <w:b/>
                <w:i w:val="0"/>
                <w:color w:val="FFFFFF"/>
                <w:sz w:val="14"/>
              </w:rPr>
              <w:t>Stocks today</w:t>
            </w:r>
          </w:p>
        </w:tc>
        <w:tc>
          <w:tcPr>
            <w:tcW w:type="dxa" w:w="4824"/>
            <w:shd w:val="clear" w:color="auto" w:fill="1A2E55"/>
          </w:tcPr>
          <w:p>
            <w:r>
              <w:rPr>
                <w:b/>
                <w:i w:val="0"/>
                <w:color w:val="FFFFFF"/>
                <w:sz w:val="14"/>
              </w:rPr>
              <w:t>Meaning</w:t>
            </w:r>
          </w:p>
        </w:tc>
      </w:tr>
      <w:tr>
        <w:tc>
          <w:tcPr>
            <w:tcW w:type="dxa" w:w="1800"/>
          </w:tcPr>
          <w:p>
            <w:r>
              <w:rPr>
                <w:b/>
                <w:i w:val="0"/>
                <w:sz w:val="15"/>
              </w:rPr>
              <w:t>Quiet (10)</w:t>
            </w:r>
          </w:p>
        </w:tc>
        <w:tc>
          <w:tcPr>
            <w:tcW w:type="dxa" w:w="3312"/>
          </w:tcPr>
          <w:p>
            <w:r>
              <w:rPr>
                <w:b w:val="0"/>
                <w:i w:val="0"/>
                <w:sz w:val="15"/>
              </w:rPr>
              <w:t>CapitaLand Integ. Comm. Trust, Mapletree Pan Asia Comm. Trust, Ascendas REIT, Mapletree Industrial, Keppel Corp, ST Engineering, Sembcorp Industries, Wilmar Intl, ComfortDelGro, Raffles Medical Group</w:t>
            </w:r>
          </w:p>
        </w:tc>
        <w:tc>
          <w:tcPr>
            <w:tcW w:type="dxa" w:w="4824"/>
          </w:tcPr>
          <w:p>
            <w:r>
              <w:rPr>
                <w:b w:val="0"/>
                <w:i w:val="0"/>
                <w:sz w:val="15"/>
              </w:rPr>
              <w:t>no directional signal today</w:t>
            </w:r>
          </w:p>
        </w:tc>
      </w:tr>
      <w:tr>
        <w:tc>
          <w:tcPr>
            <w:tcW w:type="dxa" w:w="1800"/>
            <w:shd w:val="clear" w:color="auto" w:fill="F7F7F5"/>
          </w:tcPr>
          <w:p>
            <w:r>
              <w:rPr>
                <w:b/>
                <w:i w:val="0"/>
                <w:sz w:val="15"/>
              </w:rPr>
              <w:t>Model-only view (3)</w:t>
            </w:r>
          </w:p>
        </w:tc>
        <w:tc>
          <w:tcPr>
            <w:tcW w:type="dxa" w:w="3312"/>
            <w:shd w:val="clear" w:color="auto" w:fill="F7F7F5"/>
          </w:tcPr>
          <w:p>
            <w:r>
              <w:rPr>
                <w:b w:val="0"/>
                <w:i w:val="0"/>
                <w:sz w:val="15"/>
              </w:rPr>
              <w:t>OCBC Bank, UOB, Singtel</w:t>
            </w:r>
          </w:p>
        </w:tc>
        <w:tc>
          <w:tcPr>
            <w:tcW w:type="dxa" w:w="4824"/>
            <w:shd w:val="clear" w:color="auto" w:fill="F7F7F5"/>
          </w:tcPr>
          <w:p>
            <w:r>
              <w:rPr>
                <w:b w:val="0"/>
                <w:i w:val="0"/>
                <w:sz w:val="15"/>
              </w:rPr>
              <w:t>signals flat, but the model has a view</w:t>
            </w:r>
          </w:p>
        </w:tc>
      </w:tr>
      <w:tr>
        <w:tc>
          <w:tcPr>
            <w:tcW w:type="dxa" w:w="1800"/>
          </w:tcPr>
          <w:p>
            <w:r>
              <w:rPr>
                <w:b/>
                <w:i w:val="0"/>
                <w:sz w:val="15"/>
              </w:rPr>
              <w:t>Muted, fading (2)</w:t>
            </w:r>
          </w:p>
        </w:tc>
        <w:tc>
          <w:tcPr>
            <w:tcW w:type="dxa" w:w="3312"/>
          </w:tcPr>
          <w:p>
            <w:r>
              <w:rPr>
                <w:b w:val="0"/>
                <w:i w:val="0"/>
                <w:sz w:val="15"/>
              </w:rPr>
              <w:t>DBS Group, SGX Group</w:t>
            </w:r>
          </w:p>
        </w:tc>
        <w:tc>
          <w:tcPr>
            <w:tcW w:type="dxa" w:w="4824"/>
          </w:tcPr>
          <w:p>
            <w:r>
              <w:rPr>
                <w:b w:val="0"/>
                <w:i w:val="0"/>
                <w:sz w:val="15"/>
              </w:rPr>
              <w:t>signals leaned one way, price barely moved; the model expects the opposite</w:t>
            </w:r>
          </w:p>
        </w:tc>
      </w:tr>
    </w:tbl>
    <w:p>
      <w:pPr>
        <w:spacing w:after="40"/>
      </w:pPr>
      <w:r>
        <w:rPr>
          <w:b w:val="0"/>
          <w:i w:val="0"/>
          <w:color w:val="52514E"/>
          <w:sz w:val="15"/>
        </w:rPr>
        <w:t>The other patterns in the 11-pattern engine did not occur today; the full set is defined in the final report, Appendix C. The contradiction check rated 0 of 15 readings strongly mixed (named on the cards) and 13 mildly mixed today.</w:t>
      </w:r>
    </w:p>
    <w:p>
      <w:pPr>
        <w:keepNext/>
        <w:pageBreakBefore/>
        <w:spacing w:before="0" w:after="40"/>
        <w:pBdr>
          <w:bottom w:val="single" w:sz="6" w:space="2" w:color="CDE2FB"/>
        </w:pBdr>
      </w:pPr>
      <w:r>
        <w:rPr>
          <w:b/>
          <w:i w:val="0"/>
          <w:color w:val="1A2E55"/>
          <w:sz w:val="26"/>
        </w:rPr>
        <w:t>5 · What three months of testing show</w:t>
      </w:r>
    </w:p>
    <w:p>
      <w:pPr>
        <w:keepNext/>
      </w:pPr>
      <w:r>
        <w:rPr>
          <w:b w:val="0"/>
          <w:i w:val="0"/>
          <w:color w:val="52514E"/>
          <w:sz w:val="17"/>
        </w:rPr>
        <w:t>Each part of the system was tested on the project's stored data before it was allowed into this report. Results across all 15 stocks; forecast records count only outcomes known by the report date, research results are from the whole project: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8" w:type="dxa"/>
          <w:bottom w:w="18" w:type="dxa"/>
          <w:left w:w="50" w:type="dxa"/>
          <w:right w:w="50" w:type="dxa"/>
        </w:tblCellMar>
      </w:tblPr>
      <w:tblGrid>
        <w:gridCol w:w="1872"/>
        <w:gridCol w:w="4536"/>
        <w:gridCol w:w="1368"/>
        <w:gridCol w:w="2160"/>
      </w:tblGrid>
      <w:tr>
        <w:tc>
          <w:tcPr>
            <w:tcW w:type="dxa" w:w="1872"/>
            <w:shd w:val="clear" w:color="auto" w:fill="1A2E55"/>
          </w:tcPr>
          <w:p>
            <w:r>
              <w:rPr>
                <w:b/>
                <w:i w:val="0"/>
                <w:color w:val="FFFFFF"/>
                <w:sz w:val="13"/>
              </w:rPr>
              <w:t>What was tested</w:t>
            </w:r>
          </w:p>
        </w:tc>
        <w:tc>
          <w:tcPr>
            <w:tcW w:type="dxa" w:w="4536"/>
            <w:shd w:val="clear" w:color="auto" w:fill="1A2E55"/>
          </w:tcPr>
          <w:p>
            <w:r>
              <w:rPr>
                <w:b/>
                <w:i w:val="0"/>
                <w:color w:val="FFFFFF"/>
                <w:sz w:val="13"/>
              </w:rPr>
              <w:t>What we found</w:t>
            </w:r>
          </w:p>
        </w:tc>
        <w:tc>
          <w:tcPr>
            <w:tcW w:type="dxa" w:w="1368"/>
            <w:shd w:val="clear" w:color="auto" w:fill="1A2E55"/>
          </w:tcPr>
          <w:p>
            <w:r>
              <w:rPr>
                <w:b/>
                <w:i w:val="0"/>
                <w:color w:val="FFFFFF"/>
                <w:sz w:val="13"/>
              </w:rPr>
              <w:t>Verdict</w:t>
            </w:r>
          </w:p>
        </w:tc>
        <w:tc>
          <w:tcPr>
            <w:tcW w:type="dxa" w:w="2160"/>
            <w:shd w:val="clear" w:color="auto" w:fill="1A2E55"/>
          </w:tcPr>
          <w:p>
            <w:r>
              <w:rPr>
                <w:b/>
                <w:i w:val="0"/>
                <w:color w:val="FFFFFF"/>
                <w:sz w:val="13"/>
              </w:rPr>
              <w:t>What it means for you</w:t>
            </w:r>
          </w:p>
        </w:tc>
      </w:tr>
      <w:tr>
        <w:tc>
          <w:tcPr>
            <w:tcW w:type="dxa" w:w="1872"/>
          </w:tcPr>
          <w:p>
            <w:r>
              <w:rPr>
                <w:b/>
                <w:i w:val="0"/>
                <w:sz w:val="14"/>
              </w:rPr>
              <w:t>Can today's news and signals pick stocks?</w:t>
            </w:r>
          </w:p>
        </w:tc>
        <w:tc>
          <w:tcPr>
            <w:tcW w:type="dxa" w:w="4536"/>
          </w:tcPr>
          <w:p>
            <w:r>
              <w:rPr>
                <w:b w:val="0"/>
                <w:i w:val="0"/>
                <w:sz w:val="14"/>
              </w:rPr>
              <w:t>The ranking did not predict next-day returns against the other stocks (rank correlation -0.02 over 21 days).</w:t>
            </w:r>
          </w:p>
        </w:tc>
        <w:tc>
          <w:tcPr>
            <w:tcW w:type="dxa" w:w="1368"/>
            <w:shd w:val="clear" w:color="auto" w:fill="EFEEEA"/>
          </w:tcPr>
          <w:p>
            <w:r>
              <w:rPr>
                <w:b/>
                <w:i w:val="0"/>
                <w:color w:val="52514E"/>
                <w:sz w:val="14"/>
              </w:rPr>
              <w:t>○  Describes only</w:t>
            </w:r>
          </w:p>
        </w:tc>
        <w:tc>
          <w:tcPr>
            <w:tcW w:type="dxa" w:w="2160"/>
          </w:tcPr>
          <w:p>
            <w:r>
              <w:rPr>
                <w:b w:val="0"/>
                <w:i w:val="0"/>
                <w:sz w:val="14"/>
              </w:rPr>
              <w:t>Use it to understand the day, not to pick stocks</w:t>
            </w:r>
          </w:p>
        </w:tc>
      </w:tr>
      <w:tr>
        <w:tc>
          <w:tcPr>
            <w:tcW w:type="dxa" w:w="1872"/>
            <w:shd w:val="clear" w:color="auto" w:fill="F7F7F5"/>
          </w:tcPr>
          <w:p>
            <w:r>
              <w:rPr>
                <w:b/>
                <w:i w:val="0"/>
                <w:sz w:val="14"/>
              </w:rPr>
              <w:t>Was the news reading balanced?</w:t>
            </w:r>
          </w:p>
        </w:tc>
        <w:tc>
          <w:tcPr>
            <w:tcW w:type="dxa" w:w="4536"/>
            <w:shd w:val="clear" w:color="auto" w:fill="F7F7F5"/>
          </w:tcPr>
          <w:p>
            <w:r>
              <w:rPr>
                <w:b w:val="0"/>
                <w:i w:val="0"/>
                <w:sz w:val="14"/>
              </w:rPr>
              <w:t>An audit found one rule (company-event news) firing on 99.7% of readings, so readings leaned positive. Fixed on 21 Sep: positive readings 56% → 33%, with no loss of information.</w:t>
            </w:r>
          </w:p>
        </w:tc>
        <w:tc>
          <w:tcPr>
            <w:tcW w:type="dxa" w:w="1368"/>
            <w:shd w:val="clear" w:color="auto" w:fill="E4F3E4"/>
          </w:tcPr>
          <w:p>
            <w:r>
              <w:rPr>
                <w:b/>
                <w:i w:val="0"/>
                <w:color w:val="0A6E0A"/>
                <w:sz w:val="14"/>
              </w:rPr>
              <w:t>✓  Found and fixed</w:t>
            </w:r>
          </w:p>
        </w:tc>
        <w:tc>
          <w:tcPr>
            <w:tcW w:type="dxa" w:w="2160"/>
            <w:shd w:val="clear" w:color="auto" w:fill="F7F7F5"/>
          </w:tcPr>
          <w:p>
            <w:r>
              <w:rPr>
                <w:b w:val="0"/>
                <w:i w:val="0"/>
                <w:sz w:val="14"/>
              </w:rPr>
              <w:t>Readings are more balanced; negative ones stay rare</w:t>
            </w:r>
          </w:p>
        </w:tc>
      </w:tr>
      <w:tr>
        <w:tc>
          <w:tcPr>
            <w:tcW w:type="dxa" w:w="1872"/>
          </w:tcPr>
          <w:p>
            <w:r>
              <w:rPr>
                <w:b/>
                <w:i w:val="0"/>
                <w:sz w:val="14"/>
              </w:rPr>
              <w:t>Can the model forecast up or down?</w:t>
            </w:r>
          </w:p>
        </w:tc>
        <w:tc>
          <w:tcPr>
            <w:tcW w:type="dxa" w:w="4536"/>
          </w:tcPr>
          <w:p>
            <w:r>
              <w:rPr>
                <w:b w:val="0"/>
                <w:i w:val="0"/>
                <w:sz w:val="14"/>
              </w:rPr>
              <w:t>Live calls right 39% of 255 vs 54% for always 'no big move'. With honest probabilities, RandomForest, XGBoost and logistic regression all scored 53.3–54.0% vs 53.3%.</w:t>
            </w:r>
          </w:p>
        </w:tc>
        <w:tc>
          <w:tcPr>
            <w:tcW w:type="dxa" w:w="1368"/>
            <w:shd w:val="clear" w:color="auto" w:fill="FBE1E0"/>
          </w:tcPr>
          <w:p>
            <w:r>
              <w:rPr>
                <w:b/>
                <w:i w:val="0"/>
                <w:color w:val="A12D2C"/>
                <w:sz w:val="14"/>
              </w:rPr>
              <w:t>✗  Not reliable</w:t>
            </w:r>
          </w:p>
        </w:tc>
        <w:tc>
          <w:tcPr>
            <w:tcW w:type="dxa" w:w="2160"/>
          </w:tcPr>
          <w:p>
            <w:r>
              <w:rPr>
                <w:b w:val="0"/>
                <w:i w:val="0"/>
                <w:sz w:val="14"/>
              </w:rPr>
              <w:t>Three-day direction is not predictable from these inputs</w:t>
            </w:r>
          </w:p>
        </w:tc>
      </w:tr>
      <w:tr>
        <w:tc>
          <w:tcPr>
            <w:tcW w:type="dxa" w:w="1872"/>
            <w:shd w:val="clear" w:color="auto" w:fill="F7F7F5"/>
          </w:tcPr>
          <w:p>
            <w:r>
              <w:rPr>
                <w:b/>
                <w:i w:val="0"/>
                <w:sz w:val="14"/>
              </w:rPr>
              <w:t>Were its stated chances honest?</w:t>
            </w:r>
          </w:p>
        </w:tc>
        <w:tc>
          <w:tcPr>
            <w:tcW w:type="dxa" w:w="4536"/>
            <w:shd w:val="clear" w:color="auto" w:fill="F7F7F5"/>
          </w:tcPr>
          <w:p>
            <w:r>
              <w:rPr>
                <w:b w:val="0"/>
                <w:i w:val="0"/>
                <w:sz w:val="14"/>
              </w:rPr>
              <w:t>When the live model said 90% or more it was right 35% of the time (111 calls): its calibration had been fitted on its own training rows. Refitted out-of-fold, no model says 90%.</w:t>
            </w:r>
          </w:p>
        </w:tc>
        <w:tc>
          <w:tcPr>
            <w:tcW w:type="dxa" w:w="1368"/>
            <w:shd w:val="clear" w:color="auto" w:fill="FFF1D1"/>
          </w:tcPr>
          <w:p>
            <w:r>
              <w:rPr>
                <w:b/>
                <w:i w:val="0"/>
                <w:color w:val="8A5A00"/>
                <w:sz w:val="14"/>
              </w:rPr>
              <w:t>!  Found and fixed</w:t>
            </w:r>
          </w:p>
        </w:tc>
        <w:tc>
          <w:tcPr>
            <w:tcW w:type="dxa" w:w="2160"/>
            <w:shd w:val="clear" w:color="auto" w:fill="F7F7F5"/>
          </w:tcPr>
          <w:p>
            <w:r>
              <w:rPr>
                <w:b w:val="0"/>
                <w:i w:val="0"/>
                <w:sz w:val="14"/>
              </w:rPr>
              <w:t>Never read a high chance as near-certain</w:t>
            </w:r>
          </w:p>
        </w:tc>
      </w:tr>
      <w:tr>
        <w:tc>
          <w:tcPr>
            <w:tcW w:type="dxa" w:w="1872"/>
          </w:tcPr>
          <w:p>
            <w:r>
              <w:rPr>
                <w:b/>
                <w:i w:val="0"/>
                <w:sz w:val="14"/>
              </w:rPr>
              <w:t>Does marking weak forecasts help?</w:t>
            </w:r>
          </w:p>
        </w:tc>
        <w:tc>
          <w:tcPr>
            <w:tcW w:type="dxa" w:w="4536"/>
          </w:tcPr>
          <w:p>
            <w:r>
              <w:rPr>
                <w:b w:val="0"/>
                <w:i w:val="0"/>
                <w:sz w:val="14"/>
              </w:rPr>
              <w:t>✓ calls right 46%, others 32%; the gain is in 'no big move' calls (59%). ✓ rise-or-fall calls: 22% of 46.</w:t>
            </w:r>
          </w:p>
        </w:tc>
        <w:tc>
          <w:tcPr>
            <w:tcW w:type="dxa" w:w="1368"/>
            <w:shd w:val="clear" w:color="auto" w:fill="FFF1D1"/>
          </w:tcPr>
          <w:p>
            <w:r>
              <w:rPr>
                <w:b/>
                <w:i w:val="0"/>
                <w:color w:val="8A5A00"/>
                <w:sz w:val="14"/>
              </w:rPr>
              <w:t>!  For 'no big move' only</w:t>
            </w:r>
          </w:p>
        </w:tc>
        <w:tc>
          <w:tcPr>
            <w:tcW w:type="dxa" w:w="2160"/>
          </w:tcPr>
          <w:p>
            <w:r>
              <w:rPr>
                <w:b w:val="0"/>
                <w:i w:val="0"/>
                <w:sz w:val="14"/>
              </w:rPr>
              <w:t>Trust ✓ on 'no big move', never on a direction</w:t>
            </w:r>
          </w:p>
        </w:tc>
      </w:tr>
      <w:tr>
        <w:tc>
          <w:tcPr>
            <w:tcW w:type="dxa" w:w="1872"/>
            <w:shd w:val="clear" w:color="auto" w:fill="F7F7F5"/>
          </w:tcPr>
          <w:p>
            <w:r>
              <w:rPr>
                <w:b/>
                <w:i w:val="0"/>
                <w:sz w:val="14"/>
              </w:rPr>
              <w:t>Does switching models weekly help?</w:t>
            </w:r>
          </w:p>
        </w:tc>
        <w:tc>
          <w:tcPr>
            <w:tcW w:type="dxa" w:w="4536"/>
            <w:shd w:val="clear" w:color="auto" w:fill="F7F7F5"/>
          </w:tcPr>
          <w:p>
            <w:r>
              <w:rPr>
                <w:b w:val="0"/>
                <w:i w:val="0"/>
                <w:sz w:val="14"/>
              </w:rPr>
              <w:t>Replaying the weekly champion choice under 15 settings gave 53.8–54.6%: switching added churn, not accuracy.</w:t>
            </w:r>
          </w:p>
        </w:tc>
        <w:tc>
          <w:tcPr>
            <w:tcW w:type="dxa" w:w="1368"/>
            <w:shd w:val="clear" w:color="auto" w:fill="EFEEEA"/>
          </w:tcPr>
          <w:p>
            <w:r>
              <w:rPr>
                <w:b/>
                <w:i w:val="0"/>
                <w:color w:val="52514E"/>
                <w:sz w:val="14"/>
              </w:rPr>
              <w:t>○  No gain</w:t>
            </w:r>
          </w:p>
        </w:tc>
        <w:tc>
          <w:tcPr>
            <w:tcW w:type="dxa" w:w="2160"/>
            <w:shd w:val="clear" w:color="auto" w:fill="F7F7F5"/>
          </w:tcPr>
          <w:p>
            <w:r>
              <w:rPr>
                <w:b w:val="0"/>
                <w:i w:val="0"/>
                <w:sz w:val="14"/>
              </w:rPr>
              <w:t>One model (RandomForest) is kept fixed</w:t>
            </w:r>
          </w:p>
        </w:tc>
      </w:tr>
      <w:tr>
        <w:tc>
          <w:tcPr>
            <w:tcW w:type="dxa" w:w="1872"/>
          </w:tcPr>
          <w:p>
            <w:r>
              <w:rPr>
                <w:b/>
                <w:i w:val="0"/>
                <w:sz w:val="14"/>
              </w:rPr>
              <w:t>How much will a stock move?</w:t>
            </w:r>
          </w:p>
        </w:tc>
        <w:tc>
          <w:tcPr>
            <w:tcW w:type="dxa" w:w="4536"/>
          </w:tcPr>
          <w:p>
            <w:r>
              <w:rPr>
                <w:b w:val="0"/>
                <w:i w:val="0"/>
                <w:sz w:val="14"/>
              </w:rPr>
              <w:t>The normal 3-day swing held 74% of the time (420 tests; about 68% expected).</w:t>
            </w:r>
          </w:p>
        </w:tc>
        <w:tc>
          <w:tcPr>
            <w:tcW w:type="dxa" w:w="1368"/>
            <w:shd w:val="clear" w:color="auto" w:fill="E4F3E4"/>
          </w:tcPr>
          <w:p>
            <w:r>
              <w:rPr>
                <w:b/>
                <w:i w:val="0"/>
                <w:color w:val="0A6E0A"/>
                <w:sz w:val="14"/>
              </w:rPr>
              <w:t>✓  Reliable</w:t>
            </w:r>
          </w:p>
        </w:tc>
        <w:tc>
          <w:tcPr>
            <w:tcW w:type="dxa" w:w="2160"/>
          </w:tcPr>
          <w:p>
            <w:r>
              <w:rPr>
                <w:b w:val="0"/>
                <w:i w:val="0"/>
                <w:sz w:val="14"/>
              </w:rPr>
              <w:t>Judge whether a move is unusual for that stock</w:t>
            </w:r>
          </w:p>
        </w:tc>
      </w:tr>
      <w:tr>
        <w:tc>
          <w:tcPr>
            <w:tcW w:type="dxa" w:w="1872"/>
            <w:shd w:val="clear" w:color="auto" w:fill="F7F7F5"/>
          </w:tcPr>
          <w:p>
            <w:r>
              <w:rPr>
                <w:b/>
                <w:i w:val="0"/>
                <w:sz w:val="14"/>
              </w:rPr>
              <w:t>Which stocks will be calmer?</w:t>
            </w:r>
          </w:p>
        </w:tc>
        <w:tc>
          <w:tcPr>
            <w:tcW w:type="dxa" w:w="4536"/>
            <w:shd w:val="clear" w:color="auto" w:fill="F7F7F5"/>
          </w:tcPr>
          <w:p>
            <w:r>
              <w:rPr>
                <w:b w:val="0"/>
                <w:i w:val="0"/>
                <w:sz w:val="14"/>
              </w:rPr>
              <w:t>The five with the highest chance of no big move moved over 1% about 4 in 10 times, the others about 6 in 10 (31 test days). The rule was set after looking at the data.</w:t>
            </w:r>
          </w:p>
        </w:tc>
        <w:tc>
          <w:tcPr>
            <w:tcW w:type="dxa" w:w="1368"/>
            <w:shd w:val="clear" w:color="auto" w:fill="FFF1D1"/>
          </w:tcPr>
          <w:p>
            <w:r>
              <w:rPr>
                <w:b/>
                <w:i w:val="0"/>
                <w:color w:val="8A5A00"/>
                <w:sz w:val="14"/>
              </w:rPr>
              <w:t>!  Promising</w:t>
            </w:r>
          </w:p>
        </w:tc>
        <w:tc>
          <w:tcPr>
            <w:tcW w:type="dxa" w:w="2160"/>
            <w:shd w:val="clear" w:color="auto" w:fill="F7F7F5"/>
          </w:tcPr>
          <w:p>
            <w:r>
              <w:rPr>
                <w:b w:val="0"/>
                <w:i w:val="0"/>
                <w:sz w:val="14"/>
              </w:rPr>
              <w:t>A hint where less is likely to happen</w:t>
            </w:r>
          </w:p>
        </w:tc>
      </w:tr>
      <w:tr>
        <w:tc>
          <w:tcPr>
            <w:tcW w:type="dxa" w:w="1872"/>
          </w:tcPr>
          <w:p>
            <w:r>
              <w:rPr>
                <w:b/>
                <w:i w:val="0"/>
                <w:sz w:val="14"/>
              </w:rPr>
              <w:t>Does ⚑ mean a bigger move?</w:t>
            </w:r>
          </w:p>
        </w:tc>
        <w:tc>
          <w:tcPr>
            <w:tcW w:type="dxa" w:w="4536"/>
          </w:tcPr>
          <w:p>
            <w:r>
              <w:rPr>
                <w:b w:val="0"/>
                <w:i w:val="0"/>
                <w:sz w:val="14"/>
              </w:rPr>
              <w:t>No. Next 3 days: flagged stocks moved 1.2% on average, the rest 1.3% (17 flags, 18 dates).</w:t>
            </w:r>
          </w:p>
        </w:tc>
        <w:tc>
          <w:tcPr>
            <w:tcW w:type="dxa" w:w="1368"/>
            <w:shd w:val="clear" w:color="auto" w:fill="EFEEEA"/>
          </w:tcPr>
          <w:p>
            <w:r>
              <w:rPr>
                <w:b/>
                <w:i w:val="0"/>
                <w:color w:val="52514E"/>
                <w:sz w:val="14"/>
              </w:rPr>
              <w:t>○  Not a forecast</w:t>
            </w:r>
          </w:p>
        </w:tc>
        <w:tc>
          <w:tcPr>
            <w:tcW w:type="dxa" w:w="2160"/>
          </w:tcPr>
          <w:p>
            <w:r>
              <w:rPr>
                <w:b w:val="0"/>
                <w:i w:val="0"/>
                <w:sz w:val="14"/>
              </w:rPr>
              <w:t>⚑ means read the card first</w:t>
            </w:r>
          </w:p>
        </w:tc>
      </w:tr>
      <w:tr>
        <w:tc>
          <w:tcPr>
            <w:tcW w:type="dxa" w:w="1872"/>
            <w:shd w:val="clear" w:color="auto" w:fill="F7F7F5"/>
          </w:tcPr>
          <w:p>
            <w:r>
              <w:rPr>
                <w:b/>
                <w:i w:val="0"/>
                <w:sz w:val="14"/>
              </w:rPr>
              <w:t>What do seven years of prices say?</w:t>
            </w:r>
          </w:p>
        </w:tc>
        <w:tc>
          <w:tcPr>
            <w:tcW w:type="dxa" w:w="4536"/>
            <w:shd w:val="clear" w:color="auto" w:fill="F7F7F5"/>
          </w:tcPr>
          <w:p>
            <w:r>
              <w:rPr>
                <w:b w:val="0"/>
                <w:i w:val="0"/>
                <w:sz w:val="14"/>
              </w:rPr>
              <w:t>A stock that beat the other 14 on a day tended to lag slightly the next day, 2019-2025 (rank correlation +0.071, t 9.8), but by less than trading costs.</w:t>
            </w:r>
          </w:p>
        </w:tc>
        <w:tc>
          <w:tcPr>
            <w:tcW w:type="dxa" w:w="1368"/>
            <w:shd w:val="clear" w:color="auto" w:fill="EFEEEA"/>
          </w:tcPr>
          <w:p>
            <w:r>
              <w:rPr>
                <w:b/>
                <w:i w:val="0"/>
                <w:color w:val="52514E"/>
                <w:sz w:val="14"/>
              </w:rPr>
              <w:t>○  Real but small</w:t>
            </w:r>
          </w:p>
        </w:tc>
        <w:tc>
          <w:tcPr>
            <w:tcW w:type="dxa" w:w="2160"/>
            <w:shd w:val="clear" w:color="auto" w:fill="F7F7F5"/>
          </w:tcPr>
          <w:p>
            <w:r>
              <w:rPr>
                <w:b w:val="0"/>
                <w:i w:val="0"/>
                <w:sz w:val="14"/>
              </w:rPr>
              <w:t>Do not chase a one-day jump</w:t>
            </w:r>
          </w:p>
        </w:tc>
      </w:tr>
    </w:tbl>
    <w:p>
      <w:pPr>
        <w:keepNext/>
        <w:spacing w:before="120" w:after="20"/>
      </w:pPr>
      <w:r>
        <w:rPr>
          <w:b/>
          <w:i w:val="0"/>
          <w:color w:val="1A2E55"/>
          <w:sz w:val="21"/>
        </w:rPr>
        <w:t>Limitations</w:t>
      </w:r>
    </w:p>
    <w:p>
      <w:pPr>
        <w:pStyle w:val="ListBullet"/>
        <w:spacing w:after="40"/>
      </w:pPr>
      <w:r>
        <w:rPr>
          <w:b w:val="0"/>
          <w:i w:val="0"/>
          <w:sz w:val="15"/>
        </w:rPr>
        <w:t>About three months of data in one market phase: every rate above could change as more data arrives.</w:t>
      </w:r>
    </w:p>
    <w:p>
      <w:pPr>
        <w:pStyle w:val="ListBullet"/>
        <w:spacing w:after="40"/>
      </w:pPr>
      <w:r>
        <w:rPr>
          <w:b w:val="0"/>
          <w:i w:val="0"/>
          <w:sz w:val="15"/>
        </w:rPr>
        <w:t>News readings rarely turn negative: bearish rules fire less often and weigh less. No negative reading means no negative signal was found, not that there was no bad news.</w:t>
      </w:r>
    </w:p>
    <w:p>
      <w:pPr>
        <w:pStyle w:val="ListBullet"/>
        <w:spacing w:after="40"/>
      </w:pPr>
      <w:r>
        <w:rPr>
          <w:b w:val="0"/>
          <w:i w:val="0"/>
          <w:sz w:val="15"/>
        </w:rPr>
        <w:t>Free data: options data is one Singapore stock-market fund shared by all 15 stocks, and news publication times have not been checked against the report's cut-off.</w:t>
      </w:r>
    </w:p>
    <w:p>
      <w:pPr>
        <w:pStyle w:val="ListBullet"/>
        <w:spacing w:after="40"/>
      </w:pPr>
      <w:r>
        <w:rPr>
          <w:b w:val="0"/>
          <w:i w:val="0"/>
          <w:sz w:val="15"/>
        </w:rPr>
        <w:t>One political-news rule fires every day (it reads the classifier's confidence, not the tone), as does its counterweight; the two are summed and marked 'unreliable'.</w:t>
      </w:r>
    </w:p>
    <w:p>
      <w:pPr>
        <w:pStyle w:val="ListBullet"/>
        <w:spacing w:after="40"/>
      </w:pPr>
      <w:r>
        <w:rPr>
          <w:b w:val="0"/>
          <w:i w:val="0"/>
          <w:sz w:val="15"/>
        </w:rPr>
        <w:t>The news search often returns older articles, so only headlines from the last 30 days are shown; some stocks show none on a given day.</w:t>
      </w:r>
    </w:p>
    <w:p>
      <w:pPr>
        <w:keepNext/>
        <w:spacing w:before="120" w:after="20"/>
      </w:pPr>
      <w:r>
        <w:rPr>
          <w:b/>
          <w:i w:val="0"/>
          <w:color w:val="1A2E55"/>
          <w:sz w:val="21"/>
        </w:rPr>
        <w:t>Words used in this report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4" w:type="dxa"/>
          <w:bottom w:w="14" w:type="dxa"/>
          <w:left w:w="50" w:type="dxa"/>
          <w:right w:w="50" w:type="dxa"/>
        </w:tblCellMar>
      </w:tblPr>
      <w:tblGrid>
        <w:gridCol w:w="2160"/>
        <w:gridCol w:w="7776"/>
      </w:tblGrid>
      <w:tr>
        <w:tc>
          <w:tcPr>
            <w:tcW w:type="dxa" w:w="2160"/>
            <w:shd w:val="clear" w:color="auto" w:fill="1A2E55"/>
          </w:tcPr>
          <w:p>
            <w:r>
              <w:rPr>
                <w:b/>
                <w:i w:val="0"/>
                <w:color w:val="FFFFFF"/>
                <w:sz w:val="13"/>
              </w:rPr>
              <w:t>Word</w:t>
            </w:r>
          </w:p>
        </w:tc>
        <w:tc>
          <w:tcPr>
            <w:tcW w:type="dxa" w:w="7776"/>
            <w:shd w:val="clear" w:color="auto" w:fill="1A2E55"/>
          </w:tcPr>
          <w:p>
            <w:r>
              <w:rPr>
                <w:b/>
                <w:i w:val="0"/>
                <w:color w:val="FFFFFF"/>
                <w:sz w:val="13"/>
              </w:rPr>
              <w:t>Meaning</w:t>
            </w:r>
          </w:p>
        </w:tc>
      </w:tr>
      <w:tr>
        <w:tc>
          <w:tcPr>
            <w:tcW w:type="dxa" w:w="2160"/>
          </w:tcPr>
          <w:p>
            <w:r>
              <w:rPr>
                <w:b/>
                <w:i w:val="0"/>
                <w:sz w:val="14"/>
              </w:rPr>
              <w:t>News &amp; signals</w:t>
            </w:r>
          </w:p>
        </w:tc>
        <w:tc>
          <w:tcPr>
            <w:tcW w:type="dxa" w:w="7776"/>
          </w:tcPr>
          <w:p>
            <w:r>
              <w:rPr>
                <w:b w:val="0"/>
                <w:i w:val="0"/>
                <w:sz w:val="14"/>
              </w:rPr>
              <w:t>What today's news and indicators say on top of the price itself: positive, neutral or negative. It describes the day; the forecast is a separate model's job.</w:t>
            </w:r>
          </w:p>
        </w:tc>
      </w:tr>
      <w:tr>
        <w:tc>
          <w:tcPr>
            <w:tcW w:type="dxa" w:w="2160"/>
            <w:shd w:val="clear" w:color="auto" w:fill="F7F7F5"/>
          </w:tcPr>
          <w:p>
            <w:r>
              <w:rPr>
                <w:b/>
                <w:i w:val="0"/>
                <w:sz w:val="14"/>
              </w:rPr>
              <w:t>News today</w:t>
            </w:r>
          </w:p>
        </w:tc>
        <w:tc>
          <w:tcPr>
            <w:tcW w:type="dxa" w:w="7776"/>
            <w:shd w:val="clear" w:color="auto" w:fill="F7F7F5"/>
          </w:tcPr>
          <w:p>
            <w:r>
              <w:rPr>
                <w:b w:val="0"/>
                <w:i w:val="0"/>
                <w:sz w:val="14"/>
              </w:rPr>
              <w:t>The company articles collected on the day, each read as positive, negative or neutral by a finance language model (FinBERT). 'Mostly positive' means clearly more positive than negative articles.</w:t>
            </w:r>
          </w:p>
        </w:tc>
      </w:tr>
      <w:tr>
        <w:tc>
          <w:tcPr>
            <w:tcW w:type="dxa" w:w="2160"/>
          </w:tcPr>
          <w:p>
            <w:r>
              <w:rPr>
                <w:b/>
                <w:i w:val="0"/>
                <w:sz w:val="14"/>
              </w:rPr>
              <w:t>Normal day / big move</w:t>
            </w:r>
          </w:p>
        </w:tc>
        <w:tc>
          <w:tcPr>
            <w:tcW w:type="dxa" w:w="7776"/>
          </w:tcPr>
          <w:p>
            <w:r>
              <w:rPr>
                <w:b w:val="0"/>
                <w:i w:val="0"/>
                <w:sz w:val="14"/>
              </w:rPr>
              <w:t>A normal day: a one-day move within about ±0.6%, treated as the price not reacting. A big move (forecast): a three-day change beyond about ±1%. Both are half a standard deviation of past moves.</w:t>
            </w:r>
          </w:p>
        </w:tc>
      </w:tr>
      <w:tr>
        <w:tc>
          <w:tcPr>
            <w:tcW w:type="dxa" w:w="2160"/>
            <w:shd w:val="clear" w:color="auto" w:fill="F7F7F5"/>
          </w:tcPr>
          <w:p>
            <w:r>
              <w:rPr>
                <w:b/>
                <w:i w:val="0"/>
                <w:sz w:val="14"/>
              </w:rPr>
              <w:t>RSI</w:t>
            </w:r>
          </w:p>
        </w:tc>
        <w:tc>
          <w:tcPr>
            <w:tcW w:type="dxa" w:w="7776"/>
            <w:shd w:val="clear" w:color="auto" w:fill="F7F7F5"/>
          </w:tcPr>
          <w:p>
            <w:r>
              <w:rPr>
                <w:b w:val="0"/>
                <w:i w:val="0"/>
                <w:sz w:val="14"/>
              </w:rPr>
              <w:t>A 0-100 gauge of how fast the price has moved lately. Below 30 'oversold' (fell fast), above 70 'overbought' (rose fast).</w:t>
            </w:r>
          </w:p>
        </w:tc>
      </w:tr>
      <w:tr>
        <w:tc>
          <w:tcPr>
            <w:tcW w:type="dxa" w:w="2160"/>
          </w:tcPr>
          <w:p>
            <w:r>
              <w:rPr>
                <w:b/>
                <w:i w:val="0"/>
                <w:sz w:val="14"/>
              </w:rPr>
              <w:t>Average price (VWAP)</w:t>
            </w:r>
          </w:p>
        </w:tc>
        <w:tc>
          <w:tcPr>
            <w:tcW w:type="dxa" w:w="7776"/>
          </w:tcPr>
          <w:p>
            <w:r>
              <w:rPr>
                <w:b w:val="0"/>
                <w:i w:val="0"/>
                <w:sz w:val="14"/>
              </w:rPr>
              <w:t>The day's average price, weighted by how many shares traded at each price.</w:t>
            </w:r>
          </w:p>
        </w:tc>
      </w:tr>
      <w:tr>
        <w:tc>
          <w:tcPr>
            <w:tcW w:type="dxa" w:w="2160"/>
            <w:shd w:val="clear" w:color="auto" w:fill="F7F7F5"/>
          </w:tcPr>
          <w:p>
            <w:r>
              <w:rPr>
                <w:b/>
                <w:i w:val="0"/>
                <w:sz w:val="14"/>
              </w:rPr>
              <w:t>Usual range (Bollinger band)</w:t>
            </w:r>
          </w:p>
        </w:tc>
        <w:tc>
          <w:tcPr>
            <w:tcW w:type="dxa" w:w="7776"/>
            <w:shd w:val="clear" w:color="auto" w:fill="F7F7F5"/>
          </w:tcPr>
          <w:p>
            <w:r>
              <w:rPr>
                <w:b w:val="0"/>
                <w:i w:val="0"/>
                <w:sz w:val="14"/>
              </w:rPr>
              <w:t>The 20-day average price plus or minus two standard deviations; the price stays inside it on most days, so a close outside it is unusual.</w:t>
            </w:r>
          </w:p>
        </w:tc>
      </w:tr>
      <w:tr>
        <w:tc>
          <w:tcPr>
            <w:tcW w:type="dxa" w:w="2160"/>
          </w:tcPr>
          <w:p>
            <w:r>
              <w:rPr>
                <w:b/>
                <w:i w:val="0"/>
                <w:sz w:val="14"/>
              </w:rPr>
              <w:t>Trend turned (MACD)</w:t>
            </w:r>
          </w:p>
        </w:tc>
        <w:tc>
          <w:tcPr>
            <w:tcW w:type="dxa" w:w="7776"/>
          </w:tcPr>
          <w:p>
            <w:r>
              <w:rPr>
                <w:b w:val="0"/>
                <w:i w:val="0"/>
                <w:sz w:val="14"/>
              </w:rPr>
              <w:t>A short-term price average crossed a longer one.</w:t>
            </w:r>
          </w:p>
        </w:tc>
      </w:tr>
      <w:tr>
        <w:tc>
          <w:tcPr>
            <w:tcW w:type="dxa" w:w="2160"/>
            <w:shd w:val="clear" w:color="auto" w:fill="F7F7F5"/>
          </w:tcPr>
          <w:p>
            <w:r>
              <w:rPr>
                <w:b/>
                <w:i w:val="0"/>
                <w:sz w:val="14"/>
              </w:rPr>
              <w:t>Singapore ETF options</w:t>
            </w:r>
          </w:p>
        </w:tc>
        <w:tc>
          <w:tcPr>
            <w:tcW w:type="dxa" w:w="7776"/>
            <w:shd w:val="clear" w:color="auto" w:fill="F7F7F5"/>
          </w:tcPr>
          <w:p>
            <w:r>
              <w:rPr>
                <w:b w:val="0"/>
                <w:i w:val="0"/>
                <w:sz w:val="14"/>
              </w:rPr>
              <w:t>Bets traders place on a fund that tracks Singapore shares; more 'puts' means more people buying protection against a fall. The same for all 15 stocks.</w:t>
            </w:r>
          </w:p>
        </w:tc>
      </w:tr>
      <w:tr>
        <w:tc>
          <w:tcPr>
            <w:tcW w:type="dxa" w:w="2160"/>
          </w:tcPr>
          <w:p>
            <w:r>
              <w:rPr>
                <w:b/>
                <w:i w:val="0"/>
                <w:sz w:val="14"/>
              </w:rPr>
              <w:t>Normal 3-day swing</w:t>
            </w:r>
          </w:p>
        </w:tc>
        <w:tc>
          <w:tcPr>
            <w:tcW w:type="dxa" w:w="7776"/>
          </w:tcPr>
          <w:p>
            <w:r>
              <w:rPr>
                <w:b w:val="0"/>
                <w:i w:val="0"/>
                <w:sz w:val="14"/>
              </w:rPr>
              <w:t>How far the stock usually moves over three trading days (its recent daily volatility × √3); about 2 times in 3 the move stays inside it. A yardstick for whether a move is unusual.</w:t>
            </w:r>
          </w:p>
        </w:tc>
      </w:tr>
      <w:tr>
        <w:tc>
          <w:tcPr>
            <w:tcW w:type="dxa" w:w="2160"/>
            <w:shd w:val="clear" w:color="auto" w:fill="F7F7F5"/>
          </w:tcPr>
          <w:p>
            <w:r>
              <w:rPr>
                <w:b/>
                <w:i w:val="0"/>
                <w:sz w:val="14"/>
              </w:rPr>
              <w:t>Calmer than most</w:t>
            </w:r>
          </w:p>
        </w:tc>
        <w:tc>
          <w:tcPr>
            <w:tcW w:type="dxa" w:w="7776"/>
            <w:shd w:val="clear" w:color="auto" w:fill="F7F7F5"/>
          </w:tcPr>
          <w:p>
            <w:r>
              <w:rPr>
                <w:b w:val="0"/>
                <w:i w:val="0"/>
                <w:sz w:val="14"/>
              </w:rPr>
              <w:t>The five stocks with the highest chance of no big move in the forecast model's probabilities for the day.</w:t>
            </w:r>
          </w:p>
        </w:tc>
      </w:tr>
      <w:tr>
        <w:tc>
          <w:tcPr>
            <w:tcW w:type="dxa" w:w="2160"/>
          </w:tcPr>
          <w:p>
            <w:r>
              <w:rPr>
                <w:b/>
                <w:i w:val="0"/>
                <w:sz w:val="14"/>
              </w:rPr>
              <w:t>Forecast lean</w:t>
            </w:r>
          </w:p>
        </w:tc>
        <w:tc>
          <w:tcPr>
            <w:tcW w:type="dxa" w:w="7776"/>
          </w:tcPr>
          <w:p>
            <w:r>
              <w:rPr>
                <w:b w:val="0"/>
                <w:i w:val="0"/>
                <w:sz w:val="14"/>
              </w:rPr>
              <w:t>The forecast model's most likely outcome over the next three trading days: rise, fall or no big move, with the probability it gave. Probabilities are calibrated out-of-fold, so 50% means about half come true.</w:t>
            </w:r>
          </w:p>
        </w:tc>
      </w:tr>
      <w:tr>
        <w:tc>
          <w:tcPr>
            <w:tcW w:type="dxa" w:w="2160"/>
            <w:shd w:val="clear" w:color="auto" w:fill="F7F7F5"/>
          </w:tcPr>
          <w:p>
            <w:r>
              <w:rPr>
                <w:b/>
                <w:i w:val="0"/>
                <w:sz w:val="14"/>
              </w:rPr>
              <w:t>★  ⚑  ✓  ✗</w:t>
            </w:r>
          </w:p>
        </w:tc>
        <w:tc>
          <w:tcPr>
            <w:tcW w:type="dxa" w:w="7776"/>
            <w:shd w:val="clear" w:color="auto" w:fill="F7F7F5"/>
          </w:tcPr>
          <w:p>
            <w:r>
              <w:rPr>
                <w:b w:val="0"/>
                <w:i w:val="0"/>
                <w:sz w:val="14"/>
              </w:rPr>
              <w:t>★ more company-event news than usual. ⚑ worth a closer look: the price went against the news, or the news is silent while the model leans one way, and the model has a usable record on this stock. ✓ / ✗ the model's record on that stock is about as good as or better than / worse than always guessing its most common past outcome.</w:t>
            </w:r>
          </w:p>
        </w:tc>
      </w:tr>
    </w:tbl>
    <w:p>
      <w:pPr>
        <w:spacing w:after="40"/>
      </w:pPr>
      <w:r>
        <w:rPr>
          <w:b w:val="0"/>
          <w:i/>
          <w:color w:val="52514E"/>
          <w:sz w:val="14"/>
        </w:rPr>
        <w:t>General information about 15 listed companies, generated automatically from stored data. It is not financial advice or a recommendation to deal in any security, and it takes no account of your circumstances. Past patterns do not guarantee future results.</w:t>
      </w:r>
    </w:p>
    <w:sectPr w:rsidR="00FC693F" w:rsidRPr="0006063C" w:rsidSect="00034616">
      <w:footerReference w:type="default" r:id="rId9"/>
      <w:pgSz w:w="11906" w:h="16838"/>
      <w:pgMar w:top="850" w:right="1020" w:bottom="85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i w:val="0"/>
        <w:color w:val="898781"/>
        <w:sz w:val="15"/>
      </w:rPr>
      <w:t xml:space="preserve">SGX Daily Signal Report  ·  17 Sep 2026  ·  general information, not financial advice   ·   page </w:t>
    </w:r>
    <w:r>
      <w:rPr>
        <w:color w:val="898781"/>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