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Friday 18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14–18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-0.1% on average (4 up, 8 down); over 14–18 Sep they moved -1.1%. Weakest: Financial Services (-8.6%), Telecommunications (-3.3%) and Industrials (-1.6%); strongest: Healthcare (+0.6%) and REIT (+0.3%).</w:t>
      </w:r>
    </w:p>
    <w:p>
      <w:pPr>
        <w:pStyle w:val="ListBullet"/>
        <w:spacing w:after="40"/>
      </w:pPr>
      <w:r>
        <w:rPr>
          <w:b/>
          <w:i w:val="0"/>
          <w:color w:val="1A2E55"/>
          <w:sz w:val="19"/>
        </w:rPr>
        <w:t xml:space="preserve">Why. </w:t>
      </w:r>
      <w:r>
        <w:rPr>
          <w:b w:val="0"/>
          <w:i w:val="0"/>
          <w:sz w:val="19"/>
        </w:rPr>
        <w:t>Biggest movers over 14–18 Sep: SGX Group (-8.6%), Keppel Corp (-3.5%) and Singtel (-3.3%). SGX Group and Singtel moved more than the market without a company news story. For Keppel Corp,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15.3), but Singapore ETF options lean defensive (put/call 1.95): more traders are buying protection against a fall.</w:t>
      </w:r>
    </w:p>
    <w:p>
      <w:pPr>
        <w:pStyle w:val="ListBullet"/>
        <w:spacing w:after="40"/>
      </w:pPr>
      <w:r>
        <w:rPr>
          <w:b/>
          <w:i w:val="0"/>
          <w:color w:val="1A2E55"/>
          <w:sz w:val="19"/>
        </w:rPr>
        <w:t xml:space="preserve">New today. </w:t>
      </w:r>
      <w:r>
        <w:rPr>
          <w:b w:val="0"/>
          <w:i w:val="0"/>
          <w:sz w:val="19"/>
        </w:rPr>
        <w:t>Today's news added a positive signal for SGX Group (not yet in the price), DBS Group (not yet in the price) and OCBC Bank (not yet in the price). See section 2.</w:t>
      </w:r>
    </w:p>
    <w:p>
      <w:pPr>
        <w:pStyle w:val="ListBullet"/>
        <w:spacing w:after="40"/>
      </w:pPr>
      <w:r>
        <w:rPr>
          <w:b/>
          <w:i w:val="0"/>
          <w:color w:val="1A2E55"/>
          <w:sz w:val="19"/>
        </w:rPr>
        <w:t xml:space="preserve">Next 3 days. </w:t>
      </w:r>
      <w:r>
        <w:rPr>
          <w:b w:val="0"/>
          <w:i w:val="0"/>
          <w:sz w:val="19"/>
        </w:rPr>
        <w:t>The forecast model leans towards a rise for OCBC Bank; a fall for four stocks and no big move for the rest (only ST Engineering with a ✓ record); normal 3-day swings run from ±1.0% (Mapletree Industrial) to ±2.7% (SGX Group),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ST Engineering, where today's news gives no signal, but the forecast model leans to a fall. Its card is worth reading first. The moves in SGX Group and Singtel came without company news, so sector or market news is the place to check before reacting. If you prefer less day-to-day movement, Mapletree Industrial, Raffles Medical Group, ComfortDelGro, CapitaLand Integ. Comm. Trust and SGX Group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14–18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SGX Group</w:t>
            </w:r>
          </w:p>
        </w:tc>
        <w:tc>
          <w:tcPr>
            <w:tcW w:type="dxa" w:w="662"/>
          </w:tcPr>
          <w:p>
            <w:pPr>
              <w:jc w:val="right"/>
            </w:pPr>
            <w:r>
              <w:rPr>
                <w:b w:val="0"/>
                <w:i w:val="0"/>
                <w:color w:val="A12D2C"/>
                <w:sz w:val="15"/>
              </w:rPr>
              <w:t>-0.3%</w:t>
            </w:r>
          </w:p>
        </w:tc>
        <w:tc>
          <w:tcPr>
            <w:tcW w:type="dxa" w:w="792"/>
          </w:tcPr>
          <w:p>
            <w:pPr>
              <w:jc w:val="right"/>
            </w:pPr>
            <w:r>
              <w:rPr>
                <w:b w:val="0"/>
                <w:i w:val="0"/>
                <w:color w:val="A12D2C"/>
                <w:sz w:val="15"/>
              </w:rPr>
              <w:t>-8.6%</w:t>
            </w:r>
          </w:p>
        </w:tc>
        <w:tc>
          <w:tcPr>
            <w:tcW w:type="dxa" w:w="1037"/>
            <w:shd w:val="clear" w:color="auto" w:fill="DCEAFB"/>
          </w:tcPr>
          <w:p>
            <w:r>
              <w:rPr>
                <w:b/>
                <w:i w:val="0"/>
                <w:color w:val="1C5CAB"/>
                <w:sz w:val="15"/>
              </w:rPr>
              <w:t>Positive</w:t>
            </w:r>
          </w:p>
        </w:tc>
        <w:tc>
          <w:tcPr>
            <w:tcW w:type="dxa" w:w="1382"/>
          </w:tcPr>
          <w:p>
            <w:r>
              <w:rPr>
                <w:b w:val="0"/>
                <w:i w:val="0"/>
                <w:color w:val="A12D2C"/>
                <w:sz w:val="15"/>
              </w:rPr>
              <w:t>Too few (1)</w:t>
            </w:r>
          </w:p>
        </w:tc>
        <w:tc>
          <w:tcPr>
            <w:tcW w:type="dxa" w:w="1872"/>
          </w:tcPr>
          <w:p>
            <w:r>
              <w:rPr>
                <w:b w:val="0"/>
                <w:i w:val="0"/>
                <w:sz w:val="15"/>
              </w:rPr>
              <w:t>Oversold</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1C5CAB"/>
                <w:sz w:val="15"/>
              </w:rPr>
              <w:t>+0.3%</w:t>
            </w:r>
          </w:p>
        </w:tc>
        <w:tc>
          <w:tcPr>
            <w:tcW w:type="dxa" w:w="792"/>
          </w:tcPr>
          <w:p>
            <w:pPr>
              <w:jc w:val="right"/>
            </w:pPr>
            <w:r>
              <w:rPr>
                <w:b w:val="0"/>
                <w:i w:val="0"/>
                <w:color w:val="A12D2C"/>
                <w:sz w:val="15"/>
              </w:rPr>
              <w:t>-0.7%</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ST Engineering ★ ⚑</w:t>
            </w:r>
          </w:p>
        </w:tc>
        <w:tc>
          <w:tcPr>
            <w:tcW w:type="dxa" w:w="662"/>
            <w:shd w:val="clear" w:color="auto" w:fill="F7F7F5"/>
          </w:tcPr>
          <w:p>
            <w:pPr>
              <w:jc w:val="right"/>
            </w:pPr>
            <w:r>
              <w:rPr>
                <w:b w:val="0"/>
                <w:i w:val="0"/>
                <w:color w:val="1C5CAB"/>
                <w:sz w:val="15"/>
              </w:rPr>
              <w:t>+2.4%</w:t>
            </w:r>
          </w:p>
        </w:tc>
        <w:tc>
          <w:tcPr>
            <w:tcW w:type="dxa" w:w="792"/>
            <w:shd w:val="clear" w:color="auto" w:fill="F7F7F5"/>
          </w:tcPr>
          <w:p>
            <w:pPr>
              <w:jc w:val="right"/>
            </w:pPr>
            <w:r>
              <w:rPr>
                <w:b w:val="0"/>
                <w:i w:val="0"/>
                <w:color w:val="1C5CAB"/>
                <w:sz w:val="15"/>
              </w:rPr>
              <w:t>+1.9%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(46)</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5</w:t>
            </w:r>
          </w:p>
        </w:tc>
        <w:tc>
          <w:tcPr>
            <w:tcW w:type="dxa" w:w="2189"/>
          </w:tcPr>
          <w:p>
            <w:r>
              <w:rPr>
                <w:b w:val="0"/>
                <w:i w:val="0"/>
                <w:sz w:val="15"/>
              </w:rPr>
              <w:t>CapitaLand Integ. Comm. Trust ★</w:t>
            </w:r>
          </w:p>
        </w:tc>
        <w:tc>
          <w:tcPr>
            <w:tcW w:type="dxa" w:w="662"/>
          </w:tcPr>
          <w:p>
            <w:pPr>
              <w:jc w:val="right"/>
            </w:pPr>
            <w:r>
              <w:rPr>
                <w:b w:val="0"/>
                <w:i w:val="0"/>
                <w:color w:val="1C5CAB"/>
                <w:sz w:val="15"/>
              </w:rPr>
              <w:t>+0.4%</w:t>
            </w:r>
          </w:p>
        </w:tc>
        <w:tc>
          <w:tcPr>
            <w:tcW w:type="dxa" w:w="792"/>
          </w:tcPr>
          <w:p>
            <w:pPr>
              <w:jc w:val="right"/>
            </w:pPr>
            <w:r>
              <w:rPr>
                <w:b w:val="0"/>
                <w:i w:val="0"/>
                <w:color w:val="1C5CAB"/>
                <w:sz w:val="15"/>
              </w:rPr>
              <w:t>+0.4%</w:t>
            </w:r>
          </w:p>
        </w:tc>
        <w:tc>
          <w:tcPr>
            <w:tcW w:type="dxa" w:w="1037"/>
            <w:shd w:val="clear" w:color="auto" w:fill="EFEEEA"/>
          </w:tcPr>
          <w:p>
            <w:r>
              <w:rPr>
                <w:b/>
                <w:i w:val="0"/>
                <w:color w:val="52514E"/>
                <w:sz w:val="15"/>
              </w:rPr>
              <w:t>Neutral</w:t>
            </w:r>
          </w:p>
        </w:tc>
        <w:tc>
          <w:tcPr>
            <w:tcW w:type="dxa" w:w="1382"/>
          </w:tcPr>
          <w:p>
            <w:r>
              <w:rPr>
                <w:b w:val="0"/>
                <w:i w:val="0"/>
                <w:sz w:val="15"/>
              </w:rPr>
              <w:t>Mostly positive (29)</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+1.3%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 signal, little move</w:t>
            </w:r>
          </w:p>
        </w:tc>
      </w:tr>
      <w:tr>
        <w:tc>
          <w:tcPr>
            <w:tcW w:type="dxa" w:w="360"/>
          </w:tcPr>
          <w:p>
            <w:r>
              <w:rPr>
                <w:b w:val="0"/>
                <w:i w:val="0"/>
                <w:sz w:val="15"/>
              </w:rPr>
              <w:t>7</w:t>
            </w:r>
          </w:p>
        </w:tc>
        <w:tc>
          <w:tcPr>
            <w:tcW w:type="dxa" w:w="2189"/>
          </w:tcPr>
          <w:p>
            <w:r>
              <w:rPr>
                <w:b w:val="0"/>
                <w:i w:val="0"/>
                <w:sz w:val="15"/>
              </w:rPr>
              <w:t>Keppel Corp ★</w:t>
            </w:r>
          </w:p>
        </w:tc>
        <w:tc>
          <w:tcPr>
            <w:tcW w:type="dxa" w:w="662"/>
          </w:tcPr>
          <w:p>
            <w:pPr>
              <w:jc w:val="right"/>
            </w:pPr>
            <w:r>
              <w:rPr>
                <w:b w:val="0"/>
                <w:i w:val="0"/>
                <w:color w:val="A12D2C"/>
                <w:sz w:val="15"/>
              </w:rPr>
              <w:t>-0.8%</w:t>
            </w:r>
          </w:p>
        </w:tc>
        <w:tc>
          <w:tcPr>
            <w:tcW w:type="dxa" w:w="792"/>
          </w:tcPr>
          <w:p>
            <w:pPr>
              <w:jc w:val="right"/>
            </w:pPr>
            <w:r>
              <w:rPr>
                <w:b w:val="0"/>
                <w:i w:val="0"/>
                <w:color w:val="A12D2C"/>
                <w:sz w:val="15"/>
              </w:rPr>
              <w:t>-3.5%</w:t>
            </w:r>
          </w:p>
        </w:tc>
        <w:tc>
          <w:tcPr>
            <w:tcW w:type="dxa" w:w="1037"/>
            <w:shd w:val="clear" w:color="auto" w:fill="EFEEEA"/>
          </w:tcPr>
          <w:p>
            <w:r>
              <w:rPr>
                <w:b/>
                <w:i w:val="0"/>
                <w:color w:val="52514E"/>
                <w:sz w:val="15"/>
              </w:rPr>
              <w:t>Neutral</w:t>
            </w:r>
          </w:p>
        </w:tc>
        <w:tc>
          <w:tcPr>
            <w:tcW w:type="dxa" w:w="1382"/>
          </w:tcPr>
          <w:p>
            <w:r>
              <w:rPr>
                <w:b w:val="0"/>
                <w:i w:val="0"/>
                <w:sz w:val="15"/>
              </w:rPr>
              <w:t>Mostly positive (32)</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8</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(22)</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Raffles Medical Group ★</w:t>
            </w:r>
          </w:p>
        </w:tc>
        <w:tc>
          <w:tcPr>
            <w:tcW w:type="dxa" w:w="662"/>
          </w:tcPr>
          <w:p>
            <w:pPr>
              <w:jc w:val="right"/>
            </w:pPr>
            <w:r>
              <w:rPr>
                <w:b w:val="0"/>
                <w:i w:val="0"/>
                <w:color w:val="A12D2C"/>
                <w:sz w:val="15"/>
              </w:rPr>
              <w:t>-0.6%</w:t>
            </w:r>
          </w:p>
        </w:tc>
        <w:tc>
          <w:tcPr>
            <w:tcW w:type="dxa" w:w="792"/>
          </w:tcPr>
          <w:p>
            <w:pPr>
              <w:jc w:val="right"/>
            </w:pPr>
            <w:r>
              <w:rPr>
                <w:b w:val="0"/>
                <w:i w:val="0"/>
                <w:color w:val="1C5CAB"/>
                <w:sz w:val="15"/>
              </w:rPr>
              <w:t>+0.6%</w:t>
            </w:r>
          </w:p>
        </w:tc>
        <w:tc>
          <w:tcPr>
            <w:tcW w:type="dxa" w:w="1037"/>
            <w:shd w:val="clear" w:color="auto" w:fill="EFEEEA"/>
          </w:tcPr>
          <w:p>
            <w:r>
              <w:rPr>
                <w:b/>
                <w:i w:val="0"/>
                <w:color w:val="52514E"/>
                <w:sz w:val="15"/>
              </w:rPr>
              <w:t>Neutral</w:t>
            </w:r>
          </w:p>
        </w:tc>
        <w:tc>
          <w:tcPr>
            <w:tcW w:type="dxa" w:w="1382"/>
          </w:tcPr>
          <w:p>
            <w:r>
              <w:rPr>
                <w:b w:val="0"/>
                <w:i w:val="0"/>
                <w:sz w:val="15"/>
              </w:rPr>
              <w:t>Mostly positive (21)</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-3.3%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(24)</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Wilmar Intl ★</w:t>
            </w:r>
          </w:p>
        </w:tc>
        <w:tc>
          <w:tcPr>
            <w:tcW w:type="dxa" w:w="662"/>
          </w:tcPr>
          <w:p>
            <w:pPr>
              <w:jc w:val="right"/>
            </w:pPr>
            <w:r>
              <w:rPr>
                <w:b w:val="0"/>
                <w:i w:val="0"/>
                <w:color w:val="A12D2C"/>
                <w:sz w:val="15"/>
              </w:rPr>
              <w:t>-1.3%</w:t>
            </w:r>
          </w:p>
        </w:tc>
        <w:tc>
          <w:tcPr>
            <w:tcW w:type="dxa" w:w="792"/>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tcPr>
          <w:p>
            <w:r>
              <w:rPr>
                <w:b w:val="0"/>
                <w:i w:val="0"/>
                <w:sz w:val="15"/>
              </w:rPr>
              <w:t>Mixed (21)</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A12D2C"/>
                <w:sz w:val="15"/>
              </w:rPr>
              <w:t>-1.6%</w:t>
            </w:r>
          </w:p>
        </w:tc>
        <w:tc>
          <w:tcPr>
            <w:tcW w:type="dxa" w:w="792"/>
            <w:shd w:val="clear" w:color="auto" w:fill="F7F7F5"/>
          </w:tcPr>
          <w:p>
            <w:pPr>
              <w:jc w:val="right"/>
            </w:pPr>
            <w:r>
              <w:rPr>
                <w:b w:val="0"/>
                <w:i w:val="0"/>
                <w:color w:val="A12D2C"/>
                <w:sz w:val="15"/>
              </w:rPr>
              <w:t>-3.3%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Below range</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ComfortDelGro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(37)</w:t>
            </w:r>
          </w:p>
        </w:tc>
        <w:tc>
          <w:tcPr>
            <w:tcW w:type="dxa" w:w="1872"/>
          </w:tcPr>
          <w:p>
            <w:r>
              <w:rPr>
                <w:b w:val="0"/>
                <w:i w:val="0"/>
                <w:sz w:val="15"/>
              </w:rPr>
              <w:t>Weekly down · Below range</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1C5CAB"/>
                <w:sz w:val="15"/>
              </w:rPr>
              <w:t>+0.8%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(20)</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negative (22)</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(1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14–18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18.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+1.9% over 14–18 Sep</w:t>
            </w:r>
          </w:p>
          <w:p>
            <w:pPr>
              <w:spacing w:after="10" w:line="240" w:lineRule="auto"/>
            </w:pPr>
            <w:r>
              <w:rPr>
                <w:b/>
                <w:i w:val="0"/>
                <w:color w:val="1A2E55"/>
                <w:sz w:val="16"/>
              </w:rPr>
              <w:t xml:space="preserve">In short (AI-written, checked)  </w:t>
            </w:r>
            <w:r>
              <w:rPr>
                <w:b w:val="0"/>
                <w:i w:val="0"/>
                <w:sz w:val="16"/>
              </w:rPr>
              <w:t>ST Engineering rose 1.9% over 14–18 Sep and added +2.4% today, its biggest single day being +2.4% on Fri 18 Sep. The news today was mostly positive and, together with the price, points in the same direction, but the forecast model expects a fall and its record on this stock is only a weak signal.</w:t>
            </w:r>
          </w:p>
          <w:p>
            <w:pPr>
              <w:spacing w:after="10" w:line="240" w:lineRule="auto"/>
            </w:pPr>
            <w:r>
              <w:rPr>
                <w:b/>
                <w:i w:val="0"/>
                <w:color w:val="1A2E55"/>
                <w:sz w:val="16"/>
              </w:rPr>
              <w:t xml:space="preserve">What happened  </w:t>
            </w:r>
            <w:r>
              <w:rPr>
                <w:b w:val="0"/>
                <w:i w:val="0"/>
                <w:sz w:val="16"/>
              </w:rPr>
              <w:t>Rose 1.9% over 14–18 Sep, including +2.4% on Fri 18 Sep. Today +2.4%.</w:t>
            </w:r>
          </w:p>
          <w:p>
            <w:pPr>
              <w:spacing w:after="10" w:line="240" w:lineRule="auto"/>
            </w:pPr>
            <w:r>
              <w:rPr>
                <w:b/>
                <w:i w:val="0"/>
                <w:color w:val="1A2E55"/>
                <w:sz w:val="16"/>
              </w:rPr>
              <w:t xml:space="preserve">Today: news vs price  </w:t>
            </w:r>
            <w:r>
              <w:rPr>
                <w:b w:val="0"/>
                <w:i w:val="0"/>
                <w:sz w:val="16"/>
              </w:rPr>
              <w:t>No news signal today (neutral reading); the price rose 2.4%, more than a normal day's ±0.6%: a move without a news signal. The forecast model still leans 'fall'. (Pattern: Model-only view.)</w:t>
            </w:r>
          </w:p>
          <w:p>
            <w:pPr>
              <w:spacing w:after="10" w:line="240" w:lineRule="auto"/>
            </w:pPr>
            <w:r>
              <w:rPr>
                <w:b/>
                <w:i w:val="0"/>
                <w:color w:val="1A2E55"/>
                <w:sz w:val="16"/>
              </w:rPr>
              <w:t xml:space="preserve">Last 5 days in context  </w:t>
            </w:r>
            <w:r>
              <w:rPr>
                <w:b w:val="0"/>
                <w:i w:val="0"/>
                <w:sz w:val="16"/>
              </w:rPr>
              <w:t>Company news collected today was mostly positive; the price rose 1.9% over 14–18 Sep, its 2 sector peers -3.4% on average, and the 15 stocks -1.1% on average. So the company news and the price point the same way.</w:t>
            </w:r>
          </w:p>
          <w:p>
            <w:pPr>
              <w:spacing w:after="10" w:line="240" w:lineRule="auto"/>
            </w:pPr>
            <w:r>
              <w:rPr>
                <w:b/>
                <w:i w:val="0"/>
                <w:color w:val="1A2E55"/>
                <w:sz w:val="16"/>
              </w:rPr>
              <w:t xml:space="preserve">News today  </w:t>
            </w:r>
            <w:r>
              <w:rPr>
                <w:b w:val="0"/>
                <w:i w:val="0"/>
                <w:sz w:val="16"/>
              </w:rPr>
              <w:t>46 articles collected today: 19 positive, 6 negative, 21 neutral (mostly positive). Event tags: dividend, earnings, merger or acquisition, management change.</w:t>
            </w:r>
          </w:p>
          <w:p>
            <w:pPr>
              <w:spacing w:after="10" w:line="240" w:lineRule="auto"/>
            </w:pPr>
            <w:r>
              <w:rPr>
                <w:b/>
                <w:i w:val="0"/>
                <w:color w:val="1A2E55"/>
                <w:sz w:val="16"/>
              </w:rPr>
              <w:t xml:space="preserve">Headlines  </w:t>
            </w:r>
            <w:r>
              <w:rPr>
                <w:b w:val="0"/>
                <w:i w:val="0"/>
                <w:sz w:val="16"/>
              </w:rPr>
              <w:t>+ “Singtel vs ST Engineering: Which Dividend Stock Is Better for the Next 10 Years?” (Yahoo Finance Singapore, 06 Sep)</w:t>
            </w:r>
          </w:p>
          <w:p>
            <w:pPr>
              <w:spacing w:after="10" w:line="240" w:lineRule="auto"/>
            </w:pPr>
            <w:r>
              <w:rPr>
                <w:b/>
                <w:i w:val="0"/>
                <w:color w:val="1A2E55"/>
                <w:sz w:val="16"/>
              </w:rPr>
              <w:t xml:space="preserve">Price chart  </w:t>
            </w:r>
            <w:r>
              <w:rPr>
                <w:b w:val="0"/>
                <w:i w:val="0"/>
                <w:sz w:val="16"/>
              </w:rPr>
              <w:t>RSI 51, between 30 and 70: no unusually fast move.</w:t>
            </w:r>
          </w:p>
          <w:p>
            <w:pPr>
              <w:spacing w:after="10" w:line="240" w:lineRule="auto"/>
            </w:pPr>
            <w:r>
              <w:rPr>
                <w:b/>
                <w:i w:val="0"/>
                <w:color w:val="1A2E55"/>
                <w:sz w:val="16"/>
              </w:rPr>
              <w:t xml:space="preserve">News &amp; signals reading  </w:t>
            </w:r>
            <w:r>
              <w:rPr>
                <w:b w:val="0"/>
                <w:i w:val="0"/>
                <w:sz w:val="16"/>
              </w:rPr>
              <w:t>Neutral today (score +0.29; positive above +0.35, negative below −0.35), and on all 3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positive company news +0.18.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The neutral outlook for ST Engineering is driven by a mix of positive corporate events and positive company news sentiment, balanced against negative signals from elevated political news volume and options market positioning. Recent headlines such as the defense spotlight and order book growth reinforce the positive side, while Middle East supply disruptions and a surge in political news raise geopolitical risk. The linear LogReg model predicts a negative move, whereas the RandomForest model leans positive, creating a mild contradiction that keeps the overall stance neutral.</w:t>
            </w:r>
          </w:p>
          <w:p>
            <w:pPr>
              <w:spacing w:after="10" w:line="240" w:lineRule="auto"/>
            </w:pPr>
            <w:r>
              <w:rPr>
                <w:b/>
                <w:i w:val="0"/>
                <w:color w:val="1A2E55"/>
                <w:sz w:val="16"/>
              </w:rPr>
              <w:t xml:space="preserve">Forecast lean  </w:t>
            </w:r>
            <w:r>
              <w:rPr>
                <w:b w:val="0"/>
                <w:i w:val="0"/>
                <w:sz w:val="16"/>
              </w:rPr>
              <w:t>Fall over the next 3 trading days (chance 96%); its normal 3-day swing is ±1.7%. Past record on this stock: ✓, but rise-or-fall calls marked ✓ were right only 22%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-8.6% over 14–18 Sep</w:t>
            </w:r>
          </w:p>
          <w:p>
            <w:pPr>
              <w:spacing w:after="10" w:line="240" w:lineRule="auto"/>
            </w:pPr>
            <w:r>
              <w:rPr>
                <w:b/>
                <w:i w:val="0"/>
                <w:color w:val="1A2E55"/>
                <w:sz w:val="16"/>
              </w:rPr>
              <w:t xml:space="preserve">In short (AI-written, checked)  </w:t>
            </w:r>
            <w:r>
              <w:rPr>
                <w:b w:val="0"/>
                <w:i w:val="0"/>
                <w:sz w:val="16"/>
              </w:rPr>
              <w:t>SGX Group fell 8.6% over 14–18 Sep and slipped 0.3% today, its biggest drop being -5.7% on Mon 14 Sep. The news today was too few and does not explain the move; the forecast model sees no big move and its record on this stock is weaker than a simple rule, so it carries little weight.</w:t>
            </w:r>
          </w:p>
          <w:p>
            <w:pPr>
              <w:spacing w:after="10" w:line="240" w:lineRule="auto"/>
            </w:pPr>
            <w:r>
              <w:rPr>
                <w:b/>
                <w:i w:val="0"/>
                <w:color w:val="1A2E55"/>
                <w:sz w:val="16"/>
              </w:rPr>
              <w:t xml:space="preserve">What happened  </w:t>
            </w:r>
            <w:r>
              <w:rPr>
                <w:b w:val="0"/>
                <w:i w:val="0"/>
                <w:sz w:val="16"/>
              </w:rPr>
              <w:t>Fell 8.6% over 14–18 Sep, most of it on Mon 14 Sep (-5.7%). Today -0.3%.</w:t>
            </w:r>
          </w:p>
          <w:p>
            <w:pPr>
              <w:spacing w:after="10" w:line="240" w:lineRule="auto"/>
            </w:pPr>
            <w:r>
              <w:rPr>
                <w:b/>
                <w:i w:val="0"/>
                <w:color w:val="1A2E55"/>
                <w:sz w:val="16"/>
              </w:rPr>
              <w:t xml:space="preserve">Today: news vs price  </w:t>
            </w:r>
            <w:r>
              <w:rPr>
                <w:b w:val="0"/>
                <w:i w:val="0"/>
                <w:sz w:val="16"/>
              </w:rPr>
              <w:t>Positive reading, but the price fell 0.3%,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Too little company news to judge (1 article collected today); the price fell 8.6% over 14–18 Sep, against -1.1% for the 15 stocks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1 article collected today: 1 positive, 0 negative, 0 neutral, too few to read.</w:t>
            </w:r>
          </w:p>
          <w:p>
            <w:pPr>
              <w:spacing w:after="10" w:line="240" w:lineRule="auto"/>
            </w:pPr>
            <w:r>
              <w:rPr>
                <w:b/>
                <w:i w:val="0"/>
                <w:color w:val="1A2E55"/>
                <w:sz w:val="16"/>
              </w:rPr>
              <w:t xml:space="preserve">Headlines  </w:t>
            </w:r>
            <w:r>
              <w:rPr>
                <w:b w:val="0"/>
                <w:i w:val="0"/>
                <w:sz w:val="16"/>
              </w:rPr>
              <w:t>+ “Metrocon closes at S$0.235, 17.5% above placement price on SGX Catalist debut” (Business Times, 15 Sep)</w:t>
            </w:r>
          </w:p>
          <w:p>
            <w:pPr>
              <w:spacing w:after="10" w:line="240" w:lineRule="auto"/>
            </w:pPr>
            <w:r>
              <w:rPr>
                <w:b/>
                <w:i w:val="0"/>
                <w:color w:val="1A2E55"/>
                <w:sz w:val="16"/>
              </w:rPr>
              <w:t xml:space="preserve">Price chart  </w:t>
            </w:r>
            <w:r>
              <w:rPr>
                <w:b w:val="0"/>
                <w:i w:val="0"/>
                <w:sz w:val="16"/>
              </w:rPr>
              <w:t>RSI 22, below 30: the price fell fast ('oversold').</w:t>
            </w:r>
          </w:p>
          <w:p>
            <w:pPr>
              <w:spacing w:after="10" w:line="240" w:lineRule="auto"/>
            </w:pPr>
            <w:r>
              <w:rPr>
                <w:b/>
                <w:i w:val="0"/>
                <w:color w:val="1A2E55"/>
                <w:sz w:val="16"/>
              </w:rPr>
              <w:t xml:space="preserve">News &amp; signals reading  </w:t>
            </w:r>
            <w:r>
              <w:rPr>
                <w:b w:val="0"/>
                <w:i w:val="0"/>
                <w:sz w:val="16"/>
              </w:rPr>
              <w:t>Positive today (score +0.47; positive above +0.35, negative below −0.35), and on all 3 earlier recorded days. It needs both the 'oversold' signal and the positive news: without either it would be neutral.</w:t>
            </w:r>
          </w:p>
          <w:p>
            <w:pPr>
              <w:spacing w:after="10" w:line="240" w:lineRule="auto"/>
            </w:pPr>
            <w:r>
              <w:rPr>
                <w:b/>
                <w:i w:val="0"/>
                <w:color w:val="1A2E55"/>
                <w:sz w:val="16"/>
              </w:rPr>
              <w:t xml:space="preserve">Rules behind the reading  </w:t>
            </w:r>
            <w:r>
              <w:rPr>
                <w:b w:val="0"/>
                <w:i w:val="0"/>
                <w:sz w:val="16"/>
              </w:rPr>
              <w:t>Up: RSI oversold +0.38, positive company news +0.18.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SGX Group maintains a positive outlook driven by strong technical signals such as an oversold RSI and price above VWAP, coupled with positive geopolitical conditions and favorable company news from Metrocon’s reverse takeover. ML-model contributions reinforce this view, with positive news share and momentum adding significant positive weight. However, elevated political news volume—highlighted by oil falling 1% amid Middle East supply concerns—and negative options positioning introduce caution, and the linear model’s neutral stance contrasts with the random forest’s positive prediction.</w:t>
            </w:r>
          </w:p>
          <w:p>
            <w:pPr>
              <w:spacing w:after="10" w:line="240" w:lineRule="auto"/>
            </w:pPr>
            <w:r>
              <w:rPr>
                <w:b/>
                <w:i w:val="0"/>
                <w:color w:val="1A2E55"/>
                <w:sz w:val="16"/>
              </w:rPr>
              <w:t xml:space="preserve">Forecast lean  </w:t>
            </w:r>
            <w:r>
              <w:rPr>
                <w:b w:val="0"/>
                <w:i w:val="0"/>
                <w:sz w:val="16"/>
              </w:rPr>
              <w:t>No big move over the next 3 trading days (chance 97%); its normal 3-day swing is ±2.7%.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DBS Group</w:t>
            </w:r>
            <w:r>
              <w:rPr>
                <w:b w:val="0"/>
                <w:i w:val="0"/>
                <w:color w:val="52514E"/>
                <w:sz w:val="17"/>
              </w:rPr>
              <w:t xml:space="preserve">   Banking  ·  -0.2% over 14–18 Sep</w:t>
            </w:r>
          </w:p>
          <w:p>
            <w:pPr>
              <w:spacing w:after="10" w:line="240" w:lineRule="auto"/>
            </w:pPr>
            <w:r>
              <w:rPr>
                <w:b/>
                <w:i w:val="0"/>
                <w:color w:val="1A2E55"/>
                <w:sz w:val="16"/>
              </w:rPr>
              <w:t xml:space="preserve">In short (AI-written, checked)  </w:t>
            </w:r>
            <w:r>
              <w:rPr>
                <w:b w:val="0"/>
                <w:i w:val="0"/>
                <w:sz w:val="16"/>
              </w:rPr>
              <w:t>DBS Group fell 0.2% over 14–18 Sep and dropped 0.1% today, its biggest decline being -1.2% on Tue 15 Sep. The news today was mostly positive but barely moved the stock; the forecast model expects a fall and its record on this stock is weaker than a simple rule, so it deserves little weight.</w:t>
            </w:r>
          </w:p>
          <w:p>
            <w:pPr>
              <w:spacing w:after="10" w:line="240" w:lineRule="auto"/>
            </w:pPr>
            <w:r>
              <w:rPr>
                <w:b/>
                <w:i w:val="0"/>
                <w:color w:val="1A2E55"/>
                <w:sz w:val="16"/>
              </w:rPr>
              <w:t xml:space="preserve">What happened  </w:t>
            </w:r>
            <w:r>
              <w:rPr>
                <w:b w:val="0"/>
                <w:i w:val="0"/>
                <w:sz w:val="16"/>
              </w:rPr>
              <w:t>Fell 0.2% over 14–18 Sep; its biggest day was Tue 15 Sep (-1.2%). Today -0.1%.</w:t>
            </w:r>
          </w:p>
          <w:p>
            <w:pPr>
              <w:spacing w:after="10" w:line="240" w:lineRule="auto"/>
            </w:pPr>
            <w:r>
              <w:rPr>
                <w:b/>
                <w:i w:val="0"/>
                <w:color w:val="1A2E55"/>
                <w:sz w:val="16"/>
              </w:rPr>
              <w:t xml:space="preserve">Today: news vs price  </w:t>
            </w:r>
            <w:r>
              <w:rPr>
                <w:b w:val="0"/>
                <w:i w:val="0"/>
                <w:sz w:val="16"/>
              </w:rPr>
              <w:t>Positive reading, but the price fell 0.1%,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mostly positive; the price fell 0.2% over 14–18 Sep, its 2 sector peers +0.3% on average, and the 15 stocks -1.1% on average. So it barely moved over the period.</w:t>
            </w:r>
          </w:p>
          <w:p>
            <w:pPr>
              <w:spacing w:after="10" w:line="240" w:lineRule="auto"/>
            </w:pPr>
            <w:r>
              <w:rPr>
                <w:b/>
                <w:i w:val="0"/>
                <w:color w:val="1A2E55"/>
                <w:sz w:val="16"/>
              </w:rPr>
              <w:t xml:space="preserve">News today  </w:t>
            </w:r>
            <w:r>
              <w:rPr>
                <w:b w:val="0"/>
                <w:i w:val="0"/>
                <w:sz w:val="16"/>
              </w:rPr>
              <w:t>50 articles collected today: 32 positive, 6 negative, 12 neutral (mostly positive). Event tags: dividend, earnings, upgrade.</w:t>
            </w:r>
          </w:p>
          <w:p>
            <w:pPr>
              <w:spacing w:after="10" w:line="240" w:lineRule="auto"/>
            </w:pPr>
            <w:r>
              <w:rPr>
                <w:b/>
                <w:i w:val="0"/>
                <w:color w:val="1A2E55"/>
                <w:sz w:val="16"/>
              </w:rPr>
              <w:t xml:space="preserve">Price chart  </w:t>
            </w:r>
            <w:r>
              <w:rPr>
                <w:b w:val="0"/>
                <w:i w:val="0"/>
                <w:sz w:val="16"/>
              </w:rPr>
              <w:t>RSI 54,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+0.46; positive above +0.35, negative below −0.35), and on all 3 earlier recorded days. It needs all of 'Earnings/dividend headlines', the positive news and the weekly trend: without any one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a positive geopolitical backdrop and a series of strong corporate events, including record Q2 profit and a share price break above S$50, as highlighted in recent news. Positive company news sentiment and a positive weekly timeframe further reinforce the outlook, while low VIX levels, a high put/call volume ratio, and robust news coverage volume all point to favorable market conditions. However, elevated political news volume and negative options market positioning introduce some downside risk, and the ML-model analysis shows negative contributions from political news volume and tone. Despite these contradictions, the consensus from both rule‑based and ML models leans positive, suggesting that the upside potential outweighs the short‑term headwinds.</w:t>
            </w:r>
          </w:p>
          <w:p>
            <w:pPr>
              <w:spacing w:after="10" w:line="240" w:lineRule="auto"/>
            </w:pPr>
            <w:r>
              <w:rPr>
                <w:b/>
                <w:i w:val="0"/>
                <w:color w:val="1A2E55"/>
                <w:sz w:val="16"/>
              </w:rPr>
              <w:t xml:space="preserve">Forecast lean  </w:t>
            </w:r>
            <w:r>
              <w:rPr>
                <w:b w:val="0"/>
                <w:i w:val="0"/>
                <w:sz w:val="16"/>
              </w:rPr>
              <w:t>Fall over the next 3 trading days (chance 94%); its normal 3-day swing is ±1.3%.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95%</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98%</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ComfortDelGro</w:t>
            </w:r>
          </w:p>
        </w:tc>
        <w:tc>
          <w:tcPr>
            <w:tcW w:type="dxa" w:w="1368"/>
          </w:tcPr>
          <w:p>
            <w:pPr>
              <w:keepNext/>
              <w:jc w:val="right"/>
            </w:pPr>
            <w:r>
              <w:rPr>
                <w:b w:val="0"/>
                <w:i w:val="0"/>
                <w:sz w:val="16"/>
              </w:rPr>
              <w:t>±1.3%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98%</w:t>
            </w:r>
          </w:p>
        </w:tc>
        <w:tc>
          <w:tcPr>
            <w:tcW w:type="dxa" w:w="2016"/>
            <w:shd w:val="clear" w:color="auto" w:fill="FBE1E0"/>
          </w:tcPr>
          <w:p>
            <w:pPr>
              <w:keepNext/>
            </w:pPr>
            <w:r>
              <w:rPr>
                <w:b/>
                <w:i w:val="0"/>
                <w:color w:val="A12D2C"/>
                <w:sz w:val="16"/>
              </w:rPr>
              <w:t>−31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94%</w:t>
            </w:r>
          </w:p>
        </w:tc>
        <w:tc>
          <w:tcPr>
            <w:tcW w:type="dxa" w:w="2016"/>
            <w:shd w:val="clear" w:color="auto" w:fill="FBE1E0"/>
          </w:tcPr>
          <w:p>
            <w:pPr>
              <w:keepNext/>
            </w:pPr>
            <w:r>
              <w:rPr>
                <w:b/>
                <w:i w:val="0"/>
                <w:color w:val="A12D2C"/>
                <w:sz w:val="16"/>
              </w:rPr>
              <w:t>−25 pts ✗</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92%</w:t>
            </w:r>
          </w:p>
        </w:tc>
        <w:tc>
          <w:tcPr>
            <w:tcW w:type="dxa" w:w="2016"/>
            <w:shd w:val="clear" w:color="auto" w:fill="FBE1E0"/>
          </w:tcPr>
          <w:p>
            <w:pPr>
              <w:keepNext/>
            </w:pPr>
            <w:r>
              <w:rPr>
                <w:b/>
                <w:i w:val="0"/>
                <w:color w:val="A12D2C"/>
                <w:sz w:val="16"/>
              </w:rPr>
              <w:t>−19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47%</w:t>
            </w:r>
          </w:p>
        </w:tc>
        <w:tc>
          <w:tcPr>
            <w:tcW w:type="dxa" w:w="2016"/>
            <w:shd w:val="clear" w:color="auto" w:fill="FBE1E0"/>
          </w:tcPr>
          <w:p>
            <w:pPr>
              <w:keepNext/>
            </w:pPr>
            <w:r>
              <w:rPr>
                <w:b/>
                <w:i w:val="0"/>
                <w:color w:val="A12D2C"/>
                <w:sz w:val="16"/>
              </w:rPr>
              <w:t>−12 pts ✗</w:t>
            </w:r>
          </w:p>
        </w:tc>
      </w:tr>
      <w:tr>
        <w:tc>
          <w:tcPr>
            <w:tcW w:type="dxa" w:w="2664"/>
          </w:tcPr>
          <w:p>
            <w:pPr>
              <w:keepNext/>
            </w:pPr>
            <w:r>
              <w:rPr>
                <w:b w:val="0"/>
                <w:i w:val="0"/>
                <w:sz w:val="16"/>
              </w:rPr>
              <w:t>ST Engineering</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96%</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85%</w:t>
            </w:r>
          </w:p>
        </w:tc>
        <w:tc>
          <w:tcPr>
            <w:tcW w:type="dxa" w:w="2016"/>
            <w:shd w:val="clear" w:color="auto" w:fill="E4F3E4"/>
          </w:tcPr>
          <w:p>
            <w:pPr>
              <w:keepNext/>
            </w:pPr>
            <w:r>
              <w:rPr>
                <w:b/>
                <w:i w:val="0"/>
                <w:color w:val="0A6E0A"/>
                <w:sz w:val="16"/>
              </w:rPr>
              <w:t>+12 pts ✓</w:t>
            </w:r>
          </w:p>
        </w:tc>
      </w:tr>
      <w:tr>
        <w:tc>
          <w:tcPr>
            <w:tcW w:type="dxa" w:w="2664"/>
          </w:tcPr>
          <w:p>
            <w:pPr>
              <w:keepNext/>
            </w:pPr>
            <w:r>
              <w:rPr>
                <w:b w:val="0"/>
                <w:i w:val="0"/>
                <w:sz w:val="16"/>
              </w:rPr>
              <w:t>Keppel Corp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FBE1E0"/>
          </w:tcPr>
          <w:p>
            <w:pPr>
              <w:keepNext/>
            </w:pPr>
            <w:r>
              <w:rPr>
                <w:b/>
                <w:i w:val="0"/>
                <w:color w:val="A12D2C"/>
                <w:sz w:val="16"/>
              </w:rPr>
              <w:t>−6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96%</w:t>
            </w:r>
          </w:p>
        </w:tc>
        <w:tc>
          <w:tcPr>
            <w:tcW w:type="dxa" w:w="2016"/>
            <w:shd w:val="clear" w:color="auto" w:fill="E4F3E4"/>
          </w:tcPr>
          <w:p>
            <w:pPr>
              <w:keepNext/>
            </w:pPr>
            <w:r>
              <w:rPr>
                <w:b/>
                <w:i w:val="0"/>
                <w:color w:val="0A6E0A"/>
                <w:sz w:val="16"/>
              </w:rPr>
              <w:t>+12 pts ✓</w:t>
            </w:r>
          </w:p>
        </w:tc>
      </w:tr>
      <w:tr>
        <w:tc>
          <w:tcPr>
            <w:tcW w:type="dxa" w:w="2664"/>
          </w:tcPr>
          <w:p>
            <w:pPr>
              <w:keepNext/>
            </w:pPr>
            <w:r>
              <w:rPr>
                <w:b w:val="0"/>
                <w:i w:val="0"/>
                <w:sz w:val="16"/>
              </w:rPr>
              <w:t>UOB</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72%</w:t>
            </w:r>
          </w:p>
        </w:tc>
        <w:tc>
          <w:tcPr>
            <w:tcW w:type="dxa" w:w="2016"/>
            <w:shd w:val="clear" w:color="auto" w:fill="FBE1E0"/>
          </w:tcPr>
          <w:p>
            <w:pPr>
              <w:keepNext/>
            </w:pPr>
            <w:r>
              <w:rPr>
                <w:b/>
                <w:i w:val="0"/>
                <w:color w:val="A12D2C"/>
                <w:sz w:val="16"/>
              </w:rPr>
              <w:t>−19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93%</w:t>
            </w:r>
          </w:p>
        </w:tc>
        <w:tc>
          <w:tcPr>
            <w:tcW w:type="dxa" w:w="2016"/>
            <w:shd w:val="clear" w:color="auto" w:fill="FBE1E0"/>
          </w:tcPr>
          <w:p>
            <w:pPr>
              <w:keepNext/>
            </w:pPr>
            <w:r>
              <w:rPr>
                <w:b/>
                <w:i w:val="0"/>
                <w:color w:val="A12D2C"/>
                <w:sz w:val="16"/>
              </w:rPr>
              <w:t>−12 pts ✗</w:t>
            </w:r>
          </w:p>
        </w:tc>
      </w:tr>
      <w:tr>
        <w:tc>
          <w:tcPr>
            <w:tcW w:type="dxa" w:w="2664"/>
          </w:tcPr>
          <w:p>
            <w:r>
              <w:rPr>
                <w:b w:val="0"/>
                <w:i w:val="0"/>
                <w:sz w:val="16"/>
              </w:rPr>
              <w:t>SGX Group</w:t>
            </w:r>
          </w:p>
        </w:tc>
        <w:tc>
          <w:tcPr>
            <w:tcW w:type="dxa" w:w="1368"/>
          </w:tcPr>
          <w:p>
            <w:pPr>
              <w:jc w:val="right"/>
            </w:pPr>
            <w:r>
              <w:rPr>
                <w:b w:val="0"/>
                <w:i w:val="0"/>
                <w:sz w:val="16"/>
              </w:rPr>
              <w:t>±2.7%</w:t>
            </w:r>
          </w:p>
        </w:tc>
        <w:tc>
          <w:tcPr>
            <w:tcW w:type="dxa" w:w="1440"/>
            <w:shd w:val="clear" w:color="auto" w:fill="DCEAFB"/>
          </w:tcPr>
          <w:p>
            <w:r>
              <w:rPr>
                <w:b/>
                <w:i w:val="0"/>
                <w:color w:val="1C5CAB"/>
                <w:sz w:val="16"/>
              </w:rPr>
              <w:t>✓ calmer</w:t>
            </w:r>
          </w:p>
        </w:tc>
        <w:tc>
          <w:tcPr>
            <w:tcW w:type="dxa" w:w="1440"/>
          </w:tcPr>
          <w:p>
            <w:r>
              <w:rPr>
                <w:b w:val="0"/>
                <w:i w:val="0"/>
                <w:color w:val="52514E"/>
                <w:sz w:val="16"/>
              </w:rPr>
              <w:t>No big move</w:t>
            </w:r>
          </w:p>
        </w:tc>
        <w:tc>
          <w:tcPr>
            <w:tcW w:type="dxa" w:w="1008"/>
          </w:tcPr>
          <w:p>
            <w:pPr>
              <w:jc w:val="right"/>
            </w:pPr>
            <w:r>
              <w:rPr>
                <w:b w:val="0"/>
                <w:i w:val="0"/>
                <w:sz w:val="16"/>
              </w:rPr>
              <w:t>97%</w:t>
            </w:r>
          </w:p>
        </w:tc>
        <w:tc>
          <w:tcPr>
            <w:tcW w:type="dxa" w:w="2016"/>
            <w:shd w:val="clear" w:color="auto" w:fill="FBE1E0"/>
          </w:tcPr>
          <w:p>
            <w:r>
              <w:rPr>
                <w:b/>
                <w:i w:val="0"/>
                <w:color w:val="A12D2C"/>
                <w:sz w:val="16"/>
              </w:rPr>
              <w:t>−25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Raffles Medical Group, ComfortDelGro, CapitaLand Integ. Comm. Trust and SGX Group: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40% of 270 past calls, against 54% for always guessing 'no big move'. Calls marked ✓ were right 46%, the rest 33%, but the gain is in 'no big move' calls (59% right); ✓ rise-or-fall calls were right only 22% of 46, so a ✓ never makes a direction likely. Before its probabilities were refitted, chances of 90% or more were right only 37%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475 company news articles (each read as positive, negative or neutral by FinBERT, a finance language model) and 72 political articles; price-chart indicators (RSI, MACD, Bollinger bands, VWAP, weekly trend); the market backdrop (VIX 15.3, US yield spread); Singapore ETF options positioning (put/call 1.95).</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(10)</w:t>
            </w:r>
          </w:p>
        </w:tc>
        <w:tc>
          <w:tcPr>
            <w:tcW w:type="dxa" w:w="3312"/>
          </w:tcPr>
          <w:p>
            <w:r>
              <w:rPr>
                <w:b w:val="0"/>
                <w:i w:val="0"/>
                <w:sz w:val="15"/>
              </w:rPr>
              <w:t>CapitaLand Integ. Comm. Trust, Mapletree Pan Asia Comm. Trust, Ascendas REIT, Mapletree Industrial, Singtel, Keppel Corp, Sembcorp Industries, Wilmar Intl,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Model-only view (2)</w:t>
            </w:r>
          </w:p>
        </w:tc>
        <w:tc>
          <w:tcPr>
            <w:tcW w:type="dxa" w:w="3312"/>
            <w:shd w:val="clear" w:color="auto" w:fill="F7F7F5"/>
          </w:tcPr>
          <w:p>
            <w:r>
              <w:rPr>
                <w:b w:val="0"/>
                <w:i w:val="0"/>
                <w:sz w:val="15"/>
              </w:rPr>
              <w:t>UOB, ST Engineering</w:t>
            </w:r>
          </w:p>
        </w:tc>
        <w:tc>
          <w:tcPr>
            <w:tcW w:type="dxa" w:w="4824"/>
            <w:shd w:val="clear" w:color="auto" w:fill="F7F7F5"/>
          </w:tcPr>
          <w:p>
            <w:r>
              <w:rPr>
                <w:b w:val="0"/>
                <w:i w:val="0"/>
                <w:sz w:val="15"/>
              </w:rPr>
              <w:t>signals flat, but the model has a view</w:t>
            </w:r>
          </w:p>
        </w:tc>
      </w:tr>
      <w:tr>
        <w:tc>
          <w:tcPr>
            <w:tcW w:type="dxa" w:w="1800"/>
          </w:tcPr>
          <w:p>
            <w:r>
              <w:rPr>
                <w:b/>
                <w:i w:val="0"/>
                <w:sz w:val="15"/>
              </w:rPr>
              <w:t>Muted, fading (1)</w:t>
            </w:r>
          </w:p>
        </w:tc>
        <w:tc>
          <w:tcPr>
            <w:tcW w:type="dxa" w:w="3312"/>
          </w:tcPr>
          <w:p>
            <w:r>
              <w:rPr>
                <w:b w:val="0"/>
                <w:i w:val="0"/>
                <w:sz w:val="15"/>
              </w:rPr>
              <w:t>DBS Group</w:t>
            </w:r>
          </w:p>
        </w:tc>
        <w:tc>
          <w:tcPr>
            <w:tcW w:type="dxa" w:w="4824"/>
          </w:tcPr>
          <w:p>
            <w:r>
              <w:rPr>
                <w:b w:val="0"/>
                <w:i w:val="0"/>
                <w:sz w:val="15"/>
              </w:rPr>
              <w:t>signals leaned one way, price barely moved; the model expects the opposite</w:t>
            </w:r>
          </w:p>
        </w:tc>
      </w:tr>
      <w:tr>
        <w:tc>
          <w:tcPr>
            <w:tcW w:type="dxa" w:w="1800"/>
            <w:shd w:val="clear" w:color="auto" w:fill="F7F7F5"/>
          </w:tcPr>
          <w:p>
            <w:r>
              <w:rPr>
                <w:b/>
                <w:i w:val="0"/>
                <w:sz w:val="15"/>
              </w:rPr>
              <w:t>Muted, pending (1)</w:t>
            </w:r>
          </w:p>
        </w:tc>
        <w:tc>
          <w:tcPr>
            <w:tcW w:type="dxa" w:w="3312"/>
            <w:shd w:val="clear" w:color="auto" w:fill="F7F7F5"/>
          </w:tcPr>
          <w:p>
            <w:r>
              <w:rPr>
                <w:b w:val="0"/>
                <w:i w:val="0"/>
                <w:sz w:val="15"/>
              </w:rPr>
              <w:t>OCBC Bank</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Dormant (1)</w:t>
            </w:r>
          </w:p>
        </w:tc>
        <w:tc>
          <w:tcPr>
            <w:tcW w:type="dxa" w:w="3312"/>
          </w:tcPr>
          <w:p>
            <w:r>
              <w:rPr>
                <w:b w:val="0"/>
                <w:i w:val="0"/>
                <w:sz w:val="15"/>
              </w:rPr>
              <w:t>SGX Group</w:t>
            </w:r>
          </w:p>
        </w:tc>
        <w:tc>
          <w:tcPr>
            <w:tcW w:type="dxa" w:w="4824"/>
          </w:tcPr>
          <w:p>
            <w:r>
              <w:rPr>
                <w:b w:val="0"/>
                <w:i w:val="0"/>
                <w:sz w:val="15"/>
              </w:rPr>
              <w:t>a slight lean in the signals; neither price nor model followed</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13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40% of 270 vs 54%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37% of the time (117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33%; the gain is in 'no big move' calls (59%). ✓ rise-or-fall calls: 22% of 46.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18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