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Borders>
          <w:top w:val="nil" w:sz="4" w:color="D9D8D3"/>
          <w:left w:val="nil" w:sz="4" w:color="D9D8D3"/>
          <w:bottom w:val="nil" w:sz="4" w:color="D9D8D3"/>
          <w:right w:val="nil" w:sz="4" w:color="D9D8D3"/>
          <w:insideH w:val="nil" w:sz="4" w:color="D9D8D3"/>
          <w:insideV w:val="nil" w:sz="4" w:color="D9D8D3"/>
        </w:tblBorders>
        <w:tblLayout w:type="fixed"/>
        <w:tblCellMar>
          <w:top w:w="90" w:type="dxa"/>
          <w:bottom w:w="90" w:type="dxa"/>
          <w:left w:w="140" w:type="dxa"/>
          <w:right w:w="140" w:type="dxa"/>
        </w:tblCellMar>
      </w:tblPr>
      <w:tblGrid>
        <w:gridCol w:w="5760"/>
        <w:gridCol w:w="4176"/>
      </w:tblGrid>
      <w:tr>
        <w:tc>
          <w:tcPr>
            <w:tcW w:type="dxa" w:w="5760"/>
            <w:shd w:val="clear" w:color="auto" w:fill="1A2E55"/>
          </w:tcPr>
          <w:p>
            <w:r>
              <w:rPr>
                <w:b/>
                <w:i w:val="0"/>
                <w:color w:val="FFFFFF"/>
                <w:sz w:val="38"/>
              </w:rPr>
              <w:t>SGX Daily Signal Report</w:t>
            </w:r>
          </w:p>
          <w:p>
            <w:r>
              <w:rPr>
                <w:b w:val="0"/>
                <w:i w:val="0"/>
                <w:color w:val="CDE2FB"/>
                <w:sz w:val="19"/>
              </w:rPr>
              <w:t>Monday 21 September 2026  ·  data to the close</w:t>
            </w:r>
          </w:p>
        </w:tc>
        <w:tc>
          <w:tcPr>
            <w:tcW w:type="dxa" w:w="4176"/>
            <w:shd w:val="clear" w:color="auto" w:fill="1A2E55"/>
          </w:tcPr>
          <w:p>
            <w:pPr>
              <w:jc w:val="right"/>
            </w:pPr>
            <w:r>
              <w:rPr>
                <w:b/>
                <w:i w:val="0"/>
                <w:color w:val="FFFFFF"/>
                <w:sz w:val="17"/>
              </w:rPr>
              <w:t>15 SGX stocks  ·  7 sectors</w:t>
            </w:r>
          </w:p>
          <w:p>
            <w:pPr>
              <w:jc w:val="right"/>
            </w:pPr>
            <w:r>
              <w:rPr>
                <w:b w:val="0"/>
                <w:i w:val="0"/>
                <w:color w:val="CDE2FB"/>
                <w:sz w:val="17"/>
              </w:rPr>
              <w:t>Last 5 trading days: 15–21 Sep</w:t>
            </w:r>
          </w:p>
          <w:p>
            <w:pPr>
              <w:jc w:val="right"/>
            </w:pPr>
            <w:r>
              <w:rPr>
                <w:b w:val="0"/>
                <w:i w:val="0"/>
                <w:color w:val="CDE2FB"/>
                <w:sz w:val="17"/>
              </w:rPr>
              <w:t>Sections: 1 today · 2 news &amp; last 5 days · 3 next 3 days · 4 system · 5 findings</w:t>
            </w:r>
          </w:p>
        </w:tc>
      </w:tr>
    </w:tbl>
    <w:p>
      <w:pPr>
        <w:spacing w:after="0" w:line="240" w:lineRule="auto"/>
      </w:pPr>
      <w:r>
        <w:rPr>
          <w:sz w:val="6"/>
        </w:rPr>
      </w:r>
    </w:p>
    <w:p>
      <w:pPr>
        <w:keepNext/>
        <w:pageBreakBefore w:val="0"/>
        <w:spacing w:before="160" w:after="40"/>
        <w:pBdr>
          <w:bottom w:val="single" w:sz="6" w:space="2" w:color="CDE2FB"/>
        </w:pBdr>
      </w:pPr>
      <w:r>
        <w:rPr>
          <w:b/>
          <w:i w:val="0"/>
          <w:color w:val="1A2E55"/>
          <w:sz w:val="26"/>
        </w:rPr>
        <w:t>1 · Today in 30 seconds</w:t>
      </w:r>
    </w:p>
    <w:p>
      <w:pPr>
        <w:pStyle w:val="ListBullet"/>
        <w:spacing w:after="40"/>
      </w:pPr>
      <w:r>
        <w:rPr>
          <w:b/>
          <w:i w:val="0"/>
          <w:color w:val="1A2E55"/>
          <w:sz w:val="19"/>
        </w:rPr>
        <w:t xml:space="preserve">Today. </w:t>
      </w:r>
      <w:r>
        <w:rPr>
          <w:b w:val="0"/>
          <w:i w:val="0"/>
          <w:sz w:val="19"/>
        </w:rPr>
        <w:t>Today the 15 stocks moved -0.3% on average (5 up, 8 down); over 15–21 Sep they moved -1.2%. Weakest: Telecommunications (-2.9%), Financial Services (-2.6%) and Consumer Goods (-2.5%); held up best: REIT (-0.4%) and Banking (-0.5%).</w:t>
      </w:r>
    </w:p>
    <w:p>
      <w:pPr>
        <w:pStyle w:val="ListBullet"/>
        <w:spacing w:after="40"/>
      </w:pPr>
      <w:r>
        <w:rPr>
          <w:b/>
          <w:i w:val="0"/>
          <w:color w:val="1A2E55"/>
          <w:sz w:val="19"/>
        </w:rPr>
        <w:t xml:space="preserve">Why. </w:t>
      </w:r>
      <w:r>
        <w:rPr>
          <w:b w:val="0"/>
          <w:i w:val="0"/>
          <w:sz w:val="19"/>
        </w:rPr>
        <w:t>Biggest movers over 15–21 Sep: ComfortDelGro (-3.1%), Singtel (-2.9%) and SGX Group (-2.6%). ComfortDelGro moved without a company news story; the move looks sector-wide. Singtel moved more than the market without a company news story. For SGX Group, the company news and the price disagree. See section 2.</w:t>
      </w:r>
    </w:p>
    <w:p>
      <w:pPr>
        <w:pStyle w:val="ListBullet"/>
        <w:spacing w:after="40"/>
      </w:pPr>
      <w:r>
        <w:rPr>
          <w:b/>
          <w:i w:val="0"/>
          <w:color w:val="1A2E55"/>
          <w:sz w:val="19"/>
        </w:rPr>
        <w:t xml:space="preserve">Backdrop. </w:t>
      </w:r>
      <w:r>
        <w:rPr>
          <w:b w:val="0"/>
          <w:i w:val="0"/>
          <w:sz w:val="19"/>
        </w:rPr>
        <w:t>The market backdrop is calm (VIX 14.7), but Singapore ETF options lean defensive (put/call 1.43): more traders are buying protection against a fall.</w:t>
      </w:r>
    </w:p>
    <w:p>
      <w:pPr>
        <w:pStyle w:val="ListBullet"/>
        <w:spacing w:after="40"/>
      </w:pPr>
      <w:r>
        <w:rPr>
          <w:b/>
          <w:i w:val="0"/>
          <w:color w:val="1A2E55"/>
          <w:sz w:val="19"/>
        </w:rPr>
        <w:t xml:space="preserve">New today. </w:t>
      </w:r>
      <w:r>
        <w:rPr>
          <w:b w:val="0"/>
          <w:i w:val="0"/>
          <w:sz w:val="19"/>
        </w:rPr>
        <w:t>Today's news added a positive signal for SGX Group (not yet in the price), UOB (already in the price) and Ascendas REIT (the price went the other way). See section 2.</w:t>
      </w:r>
    </w:p>
    <w:p>
      <w:pPr>
        <w:pStyle w:val="ListBullet"/>
        <w:spacing w:after="40"/>
      </w:pPr>
      <w:r>
        <w:rPr>
          <w:b/>
          <w:i w:val="0"/>
          <w:color w:val="1A2E55"/>
          <w:sz w:val="19"/>
        </w:rPr>
        <w:t xml:space="preserve">Next 3 days. </w:t>
      </w:r>
      <w:r>
        <w:rPr>
          <w:b w:val="0"/>
          <w:i w:val="0"/>
          <w:sz w:val="19"/>
        </w:rPr>
        <w:t>The forecast model expects no big move for any of the 15 stocks; normal 3-day swings run from ±1.0% (Mapletree Industrial) to ±2.6% (SGX Group), so a bigger move than a stock's own swing would be unusual. See section 3.</w:t>
      </w:r>
    </w:p>
    <w:p>
      <w:pPr>
        <w:pStyle w:val="ListBullet"/>
        <w:spacing w:after="40"/>
      </w:pPr>
      <w:r>
        <w:rPr>
          <w:b/>
          <w:i w:val="0"/>
          <w:color w:val="1A2E55"/>
          <w:sz w:val="19"/>
        </w:rPr>
        <w:t xml:space="preserve">For you. </w:t>
      </w:r>
      <w:r>
        <w:rPr>
          <w:b w:val="0"/>
          <w:i w:val="0"/>
          <w:sz w:val="19"/>
        </w:rPr>
        <w:t>No stock is flagged ⚑ today. The moves in ComfortDelGro and Singtel came without company news, so sector or market news is the place to check before reacting. If you prefer less day-to-day movement, Raffles Medical Group, Sembcorp Industries, Mapletree Pan Asia Comm. Trust, Keppel Corp and Mapletree Industrial have the highest chance of no big move.</w:t>
      </w:r>
    </w:p>
    <w:p>
      <w:pPr>
        <w:spacing w:after="40"/>
      </w:pPr>
      <w:r>
        <w:rPr>
          <w:b w:val="0"/>
          <w:i w:val="0"/>
          <w:color w:val="1A2E55"/>
          <w:sz w:val="16"/>
        </w:rPr>
        <w:t>Which parts can you rely on? Each kind of statement was tested on past data (results in section 5).</w:t>
      </w:r>
    </w:p>
    <w:tbl>
      <w:tblPr>
        <w:tblW w:type="auto" w:w="0"/>
        <w:tblLook w:firstColumn="1" w:firstRow="1" w:lastColumn="0" w:lastRow="0" w:noHBand="0" w:noVBand="1" w:val="04A0"/>
        <w:tblBorders>
          <w:top w:val="nil" w:sz="4" w:color="D9D8D3"/>
          <w:left w:val="nil" w:sz="4" w:color="D9D8D3"/>
          <w:bottom w:val="nil" w:sz="4" w:color="D9D8D3"/>
          <w:right w:val="nil" w:sz="4" w:color="D9D8D3"/>
          <w:insideH w:val="nil" w:sz="4" w:color="D9D8D3"/>
          <w:insideV w:val="nil" w:sz="4" w:color="D9D8D3"/>
        </w:tblBorders>
        <w:tblLayout w:type="fixed"/>
        <w:tblCellMar>
          <w:top w:w="35" w:type="dxa"/>
          <w:bottom w:w="35" w:type="dxa"/>
          <w:left w:w="80" w:type="dxa"/>
          <w:right w:w="80" w:type="dxa"/>
        </w:tblCellMar>
      </w:tblPr>
      <w:tblGrid>
        <w:gridCol w:w="1987"/>
        <w:gridCol w:w="1987"/>
        <w:gridCol w:w="1987"/>
        <w:gridCol w:w="1987"/>
        <w:gridCol w:w="1987"/>
      </w:tblGrid>
      <w:tr>
        <w:tc>
          <w:tcPr>
            <w:tcW w:type="dxa" w:w="1987"/>
            <w:shd w:val="clear" w:color="auto" w:fill="E4F3E4"/>
            <w:tcBorders>
              <w:left w:val="single" w:sz="6" w:color="FFFFFF"/>
              <w:right w:val="single" w:sz="6" w:color="FFFFFF"/>
            </w:tcBorders>
          </w:tcPr>
          <w:p>
            <w:r>
              <w:rPr>
                <w:b/>
                <w:i w:val="0"/>
                <w:color w:val="0A6E0A"/>
                <w:sz w:val="16"/>
              </w:rPr>
              <w:t xml:space="preserve">✓  </w:t>
            </w:r>
            <w:r>
              <w:rPr>
                <w:b w:val="0"/>
                <w:i w:val="0"/>
                <w:color w:val="0A6E0A"/>
                <w:sz w:val="14"/>
              </w:rPr>
              <w:t>Prices and changes: fact (sections 1-2)</w:t>
            </w:r>
          </w:p>
        </w:tc>
        <w:tc>
          <w:tcPr>
            <w:tcW w:type="dxa" w:w="1987"/>
            <w:shd w:val="clear" w:color="auto" w:fill="EFEEEA"/>
            <w:tcBorders>
              <w:left w:val="single" w:sz="6" w:color="FFFFFF"/>
              <w:right w:val="single" w:sz="6" w:color="FFFFFF"/>
            </w:tcBorders>
          </w:tcPr>
          <w:p>
            <w:r>
              <w:rPr>
                <w:b/>
                <w:i w:val="0"/>
                <w:color w:val="52514E"/>
                <w:sz w:val="16"/>
              </w:rPr>
              <w:t xml:space="preserve">○  </w:t>
            </w:r>
            <w:r>
              <w:rPr>
                <w:b w:val="0"/>
                <w:i w:val="0"/>
                <w:color w:val="52514E"/>
                <w:sz w:val="14"/>
              </w:rPr>
              <w:t>News &amp; signals: describe today, not a forecast (sections 1-2)</w:t>
            </w:r>
          </w:p>
        </w:tc>
        <w:tc>
          <w:tcPr>
            <w:tcW w:type="dxa" w:w="1987"/>
            <w:shd w:val="clear" w:color="auto" w:fill="E4F3E4"/>
            <w:tcBorders>
              <w:left w:val="single" w:sz="6" w:color="FFFFFF"/>
              <w:right w:val="single" w:sz="6" w:color="FFFFFF"/>
            </w:tcBorders>
          </w:tcPr>
          <w:p>
            <w:r>
              <w:rPr>
                <w:b/>
                <w:i w:val="0"/>
                <w:color w:val="0A6E0A"/>
                <w:sz w:val="16"/>
              </w:rPr>
              <w:t xml:space="preserve">✓  </w:t>
            </w:r>
            <w:r>
              <w:rPr>
                <w:b w:val="0"/>
                <w:i w:val="0"/>
                <w:color w:val="0A6E0A"/>
                <w:sz w:val="14"/>
              </w:rPr>
              <w:t>Normal 3-day swing: reliable, held 74 times in 100 (section 3)</w:t>
            </w:r>
          </w:p>
        </w:tc>
        <w:tc>
          <w:tcPr>
            <w:tcW w:type="dxa" w:w="1987"/>
            <w:shd w:val="clear" w:color="auto" w:fill="FFF1D1"/>
            <w:tcBorders>
              <w:left w:val="single" w:sz="6" w:color="FFFFFF"/>
              <w:right w:val="single" w:sz="6" w:color="FFFFFF"/>
            </w:tcBorders>
          </w:tcPr>
          <w:p>
            <w:r>
              <w:rPr>
                <w:b/>
                <w:i w:val="0"/>
                <w:color w:val="8A5A00"/>
                <w:sz w:val="16"/>
              </w:rPr>
              <w:t xml:space="preserve">!  </w:t>
            </w:r>
            <w:r>
              <w:rPr>
                <w:b w:val="0"/>
                <w:i w:val="0"/>
                <w:color w:val="8A5A00"/>
                <w:sz w:val="14"/>
              </w:rPr>
              <w:t>Calmer than most: promising, still being confirmed (section 3)</w:t>
            </w:r>
          </w:p>
        </w:tc>
        <w:tc>
          <w:tcPr>
            <w:tcW w:type="dxa" w:w="1987"/>
            <w:shd w:val="clear" w:color="auto" w:fill="FBE1E0"/>
            <w:tcBorders>
              <w:left w:val="single" w:sz="6" w:color="FFFFFF"/>
              <w:right w:val="single" w:sz="6" w:color="FFFFFF"/>
            </w:tcBorders>
          </w:tcPr>
          <w:p>
            <w:r>
              <w:rPr>
                <w:b/>
                <w:i w:val="0"/>
                <w:color w:val="A12D2C"/>
                <w:sz w:val="16"/>
              </w:rPr>
              <w:t xml:space="preserve">✗  </w:t>
            </w:r>
            <w:r>
              <w:rPr>
                <w:b w:val="0"/>
                <w:i w:val="0"/>
                <w:color w:val="A12D2C"/>
                <w:sz w:val="14"/>
              </w:rPr>
              <w:t>Up-or-down lean: not reliable, even with ✓ (section 3)</w:t>
            </w:r>
          </w:p>
        </w:tc>
      </w:tr>
    </w:tbl>
    <w:p>
      <w:pPr>
        <w:spacing w:after="0" w:line="240" w:lineRule="auto"/>
      </w:pPr>
      <w:r>
        <w:rPr>
          <w:sz w:val="6"/>
        </w:rPr>
      </w:r>
    </w:p>
    <w:p>
      <w:pPr>
        <w:keepNext/>
        <w:pageBreakBefore w:val="0"/>
        <w:spacing w:before="160" w:after="40"/>
        <w:pBdr>
          <w:bottom w:val="single" w:sz="6" w:space="2" w:color="CDE2FB"/>
        </w:pBdr>
      </w:pPr>
      <w:r>
        <w:rPr>
          <w:b/>
          <w:i w:val="0"/>
          <w:color w:val="1A2E55"/>
          <w:sz w:val="26"/>
        </w:rPr>
        <w:t>All 15 stocks today</w:t>
      </w:r>
    </w:p>
    <w:p>
      <w:pPr>
        <w:spacing w:after="40"/>
      </w:pPr>
      <w:r>
        <w:rPr>
          <w:b w:val="0"/>
          <w:i w:val="0"/>
          <w:color w:val="52514E"/>
          <w:sz w:val="17"/>
        </w:rPr>
        <w:t>Ranked by today's news-and-signals reading, most positive first. Market-wide today: calm market, VIX below 15; Singapore ETF options lean negative; this applies to all 15 and is not repeated below.</w:t>
      </w:r>
    </w:p>
    <w:tbl>
      <w:tblPr>
        <w:tblW w:type="auto" w:w="0"/>
        <w:tblLook w:firstColumn="1" w:firstRow="1" w:lastColumn="0" w:lastRow="0" w:noHBand="0" w:noVBand="1" w:val="04A0"/>
        <w:tblBorders>
          <w:top w:val="single" w:sz="4" w:color="D9D8D3"/>
          <w:left w:val="nil" w:sz="4" w:color="D9D8D3"/>
          <w:bottom w:val="single" w:sz="4" w:color="D9D8D3"/>
          <w:right w:val="nil" w:sz="4" w:color="D9D8D3"/>
          <w:insideH w:val="single" w:sz="4" w:color="D9D8D3"/>
          <w:insideV w:val="nil" w:sz="4" w:color="D9D8D3"/>
        </w:tblBorders>
        <w:tblLayout w:type="fixed"/>
        <w:tblCellMar>
          <w:top w:w="22" w:type="dxa"/>
          <w:bottom w:w="22" w:type="dxa"/>
          <w:left w:w="60" w:type="dxa"/>
          <w:right w:w="60" w:type="dxa"/>
        </w:tblCellMar>
      </w:tblPr>
      <w:tblGrid>
        <w:gridCol w:w="360"/>
        <w:gridCol w:w="2189"/>
        <w:gridCol w:w="662"/>
        <w:gridCol w:w="792"/>
        <w:gridCol w:w="1037"/>
        <w:gridCol w:w="1382"/>
        <w:gridCol w:w="1872"/>
        <w:gridCol w:w="1642"/>
      </w:tblGrid>
      <w:tr>
        <w:tc>
          <w:tcPr>
            <w:tcW w:type="dxa" w:w="360"/>
            <w:shd w:val="clear" w:color="auto" w:fill="1A2E55"/>
          </w:tcPr>
          <w:p>
            <w:r>
              <w:rPr>
                <w:b/>
                <w:i w:val="0"/>
                <w:color w:val="FFFFFF"/>
                <w:sz w:val="14"/>
              </w:rPr>
              <w:t>#</w:t>
            </w:r>
          </w:p>
        </w:tc>
        <w:tc>
          <w:tcPr>
            <w:tcW w:type="dxa" w:w="2189"/>
            <w:shd w:val="clear" w:color="auto" w:fill="1A2E55"/>
          </w:tcPr>
          <w:p>
            <w:r>
              <w:rPr>
                <w:b/>
                <w:i w:val="0"/>
                <w:color w:val="FFFFFF"/>
                <w:sz w:val="14"/>
              </w:rPr>
              <w:t>Stock</w:t>
            </w:r>
          </w:p>
        </w:tc>
        <w:tc>
          <w:tcPr>
            <w:tcW w:type="dxa" w:w="662"/>
            <w:shd w:val="clear" w:color="auto" w:fill="1A2E55"/>
          </w:tcPr>
          <w:p>
            <w:pPr>
              <w:jc w:val="right"/>
            </w:pPr>
            <w:r>
              <w:rPr>
                <w:b/>
                <w:i w:val="0"/>
                <w:color w:val="FFFFFF"/>
                <w:sz w:val="14"/>
              </w:rPr>
              <w:t>Today</w:t>
            </w:r>
          </w:p>
        </w:tc>
        <w:tc>
          <w:tcPr>
            <w:tcW w:type="dxa" w:w="792"/>
            <w:shd w:val="clear" w:color="auto" w:fill="1A2E55"/>
          </w:tcPr>
          <w:p>
            <w:pPr>
              <w:jc w:val="right"/>
            </w:pPr>
            <w:r>
              <w:rPr>
                <w:b/>
                <w:i w:val="0"/>
                <w:color w:val="FFFFFF"/>
                <w:sz w:val="14"/>
              </w:rPr>
              <w:t>15–21 Sep</w:t>
            </w:r>
          </w:p>
        </w:tc>
        <w:tc>
          <w:tcPr>
            <w:tcW w:type="dxa" w:w="1037"/>
            <w:shd w:val="clear" w:color="auto" w:fill="1A2E55"/>
          </w:tcPr>
          <w:p>
            <w:r>
              <w:rPr>
                <w:b/>
                <w:i w:val="0"/>
                <w:color w:val="FFFFFF"/>
                <w:sz w:val="14"/>
              </w:rPr>
              <w:t>News &amp; signals</w:t>
            </w:r>
          </w:p>
        </w:tc>
        <w:tc>
          <w:tcPr>
            <w:tcW w:type="dxa" w:w="1382"/>
            <w:shd w:val="clear" w:color="auto" w:fill="1A2E55"/>
          </w:tcPr>
          <w:p>
            <w:r>
              <w:rPr>
                <w:b/>
                <w:i w:val="0"/>
                <w:color w:val="FFFFFF"/>
                <w:sz w:val="14"/>
              </w:rPr>
              <w:t>News today</w:t>
            </w:r>
          </w:p>
        </w:tc>
        <w:tc>
          <w:tcPr>
            <w:tcW w:type="dxa" w:w="1872"/>
            <w:shd w:val="clear" w:color="auto" w:fill="1A2E55"/>
          </w:tcPr>
          <w:p>
            <w:r>
              <w:rPr>
                <w:b/>
                <w:i w:val="0"/>
                <w:color w:val="FFFFFF"/>
                <w:sz w:val="14"/>
              </w:rPr>
              <w:t>Price chart</w:t>
            </w:r>
          </w:p>
        </w:tc>
        <w:tc>
          <w:tcPr>
            <w:tcW w:type="dxa" w:w="1642"/>
            <w:shd w:val="clear" w:color="auto" w:fill="1A2E55"/>
          </w:tcPr>
          <w:p>
            <w:r>
              <w:rPr>
                <w:b/>
                <w:i w:val="0"/>
                <w:color w:val="FFFFFF"/>
                <w:sz w:val="14"/>
              </w:rPr>
              <w:t>Price vs news</w:t>
            </w:r>
          </w:p>
        </w:tc>
      </w:tr>
      <w:tr>
        <w:tc>
          <w:tcPr>
            <w:tcW w:type="dxa" w:w="360"/>
          </w:tcPr>
          <w:p>
            <w:r>
              <w:rPr>
                <w:b w:val="0"/>
                <w:i w:val="0"/>
                <w:sz w:val="15"/>
              </w:rPr>
              <w:t>1</w:t>
            </w:r>
          </w:p>
        </w:tc>
        <w:tc>
          <w:tcPr>
            <w:tcW w:type="dxa" w:w="2189"/>
          </w:tcPr>
          <w:p>
            <w:r>
              <w:rPr>
                <w:b w:val="0"/>
                <w:i w:val="0"/>
                <w:sz w:val="15"/>
              </w:rPr>
              <w:t>SGX Group</w:t>
            </w:r>
          </w:p>
        </w:tc>
        <w:tc>
          <w:tcPr>
            <w:tcW w:type="dxa" w:w="662"/>
          </w:tcPr>
          <w:p>
            <w:pPr>
              <w:jc w:val="right"/>
            </w:pPr>
            <w:r>
              <w:rPr>
                <w:b w:val="0"/>
                <w:i w:val="0"/>
                <w:color w:val="1C5CAB"/>
                <w:sz w:val="15"/>
              </w:rPr>
              <w:t>+0.5%</w:t>
            </w:r>
          </w:p>
        </w:tc>
        <w:tc>
          <w:tcPr>
            <w:tcW w:type="dxa" w:w="792"/>
          </w:tcPr>
          <w:p>
            <w:pPr>
              <w:jc w:val="right"/>
            </w:pPr>
            <w:r>
              <w:rPr>
                <w:b w:val="0"/>
                <w:i w:val="0"/>
                <w:color w:val="A12D2C"/>
                <w:sz w:val="15"/>
              </w:rPr>
              <w:t>-2.6%</w:t>
            </w:r>
          </w:p>
        </w:tc>
        <w:tc>
          <w:tcPr>
            <w:tcW w:type="dxa" w:w="1037"/>
            <w:shd w:val="clear" w:color="auto" w:fill="DCEAFB"/>
          </w:tcPr>
          <w:p>
            <w:r>
              <w:rPr>
                <w:b/>
                <w:i w:val="0"/>
                <w:color w:val="1C5CAB"/>
                <w:sz w:val="15"/>
              </w:rPr>
              <w:t>Positive</w:t>
            </w:r>
          </w:p>
        </w:tc>
        <w:tc>
          <w:tcPr>
            <w:tcW w:type="dxa" w:w="1382"/>
          </w:tcPr>
          <w:p>
            <w:r>
              <w:rPr>
                <w:b w:val="0"/>
                <w:i w:val="0"/>
                <w:sz w:val="15"/>
              </w:rPr>
              <w:t>Mostly positive (50)</w:t>
            </w:r>
          </w:p>
        </w:tc>
        <w:tc>
          <w:tcPr>
            <w:tcW w:type="dxa" w:w="1872"/>
          </w:tcPr>
          <w:p>
            <w:r>
              <w:rPr>
                <w:b w:val="0"/>
                <w:i w:val="0"/>
                <w:sz w:val="15"/>
              </w:rPr>
              <w:t>Oversold</w:t>
            </w:r>
          </w:p>
        </w:tc>
        <w:tc>
          <w:tcPr>
            <w:tcW w:type="dxa" w:w="1642"/>
          </w:tcPr>
          <w:p>
            <w:r>
              <w:rPr>
                <w:b w:val="0"/>
                <w:i w:val="0"/>
                <w:sz w:val="15"/>
              </w:rPr>
              <w:t>Not yet in the price</w:t>
            </w:r>
          </w:p>
        </w:tc>
      </w:tr>
      <w:tr>
        <w:tc>
          <w:tcPr>
            <w:tcW w:type="dxa" w:w="360"/>
            <w:shd w:val="clear" w:color="auto" w:fill="F7F7F5"/>
          </w:tcPr>
          <w:p>
            <w:r>
              <w:rPr>
                <w:b w:val="0"/>
                <w:i w:val="0"/>
                <w:sz w:val="15"/>
              </w:rPr>
              <w:t>2</w:t>
            </w:r>
          </w:p>
        </w:tc>
        <w:tc>
          <w:tcPr>
            <w:tcW w:type="dxa" w:w="2189"/>
            <w:shd w:val="clear" w:color="auto" w:fill="F7F7F5"/>
          </w:tcPr>
          <w:p>
            <w:r>
              <w:rPr>
                <w:b w:val="0"/>
                <w:i w:val="0"/>
                <w:sz w:val="15"/>
              </w:rPr>
              <w:t>UOB ★</w:t>
            </w:r>
          </w:p>
        </w:tc>
        <w:tc>
          <w:tcPr>
            <w:tcW w:type="dxa" w:w="662"/>
            <w:shd w:val="clear" w:color="auto" w:fill="F7F7F5"/>
          </w:tcPr>
          <w:p>
            <w:pPr>
              <w:jc w:val="right"/>
            </w:pPr>
            <w:r>
              <w:rPr>
                <w:b w:val="0"/>
                <w:i w:val="0"/>
                <w:color w:val="1C5CAB"/>
                <w:sz w:val="15"/>
              </w:rPr>
              <w:t>+0.8%</w:t>
            </w:r>
          </w:p>
        </w:tc>
        <w:tc>
          <w:tcPr>
            <w:tcW w:type="dxa" w:w="792"/>
            <w:shd w:val="clear" w:color="auto" w:fill="F7F7F5"/>
          </w:tcPr>
          <w:p>
            <w:pPr>
              <w:jc w:val="right"/>
            </w:pPr>
            <w:r>
              <w:rPr>
                <w:b w:val="0"/>
                <w:i w:val="0"/>
                <w:color w:val="A12D2C"/>
                <w:sz w:val="15"/>
              </w:rPr>
              <w:t>-0.5%</w:t>
            </w:r>
          </w:p>
        </w:tc>
        <w:tc>
          <w:tcPr>
            <w:tcW w:type="dxa" w:w="1037"/>
            <w:shd w:val="clear" w:color="auto" w:fill="DCEAFB"/>
          </w:tcPr>
          <w:p>
            <w:r>
              <w:rPr>
                <w:b/>
                <w:i w:val="0"/>
                <w:color w:val="1C5CAB"/>
                <w:sz w:val="15"/>
              </w:rPr>
              <w:t>Positive</w:t>
            </w:r>
          </w:p>
        </w:tc>
        <w:tc>
          <w:tcPr>
            <w:tcW w:type="dxa" w:w="1382"/>
            <w:shd w:val="clear" w:color="auto" w:fill="F7F7F5"/>
          </w:tcPr>
          <w:p>
            <w:r>
              <w:rPr>
                <w:b w:val="0"/>
                <w:i w:val="0"/>
                <w:sz w:val="15"/>
              </w:rPr>
              <w:t>Mixed (50)</w:t>
            </w:r>
          </w:p>
        </w:tc>
        <w:tc>
          <w:tcPr>
            <w:tcW w:type="dxa" w:w="1872"/>
            <w:shd w:val="clear" w:color="auto" w:fill="F7F7F5"/>
          </w:tcPr>
          <w:p>
            <w:r>
              <w:rPr>
                <w:b w:val="0"/>
                <w:i w:val="0"/>
                <w:sz w:val="15"/>
              </w:rPr>
              <w:t>Weekly up · Above avg price</w:t>
            </w:r>
          </w:p>
        </w:tc>
        <w:tc>
          <w:tcPr>
            <w:tcW w:type="dxa" w:w="1642"/>
            <w:shd w:val="clear" w:color="auto" w:fill="F7F7F5"/>
          </w:tcPr>
          <w:p>
            <w:r>
              <w:rPr>
                <w:b w:val="0"/>
                <w:i w:val="0"/>
                <w:sz w:val="15"/>
              </w:rPr>
              <w:t>Price agreed</w:t>
            </w:r>
          </w:p>
        </w:tc>
      </w:tr>
      <w:tr>
        <w:tc>
          <w:tcPr>
            <w:tcW w:type="dxa" w:w="360"/>
          </w:tcPr>
          <w:p>
            <w:r>
              <w:rPr>
                <w:b w:val="0"/>
                <w:i w:val="0"/>
                <w:sz w:val="15"/>
              </w:rPr>
              <w:t>3</w:t>
            </w:r>
          </w:p>
        </w:tc>
        <w:tc>
          <w:tcPr>
            <w:tcW w:type="dxa" w:w="2189"/>
          </w:tcPr>
          <w:p>
            <w:r>
              <w:rPr>
                <w:b w:val="0"/>
                <w:i w:val="0"/>
                <w:sz w:val="15"/>
              </w:rPr>
              <w:t>Ascendas REIT</w:t>
            </w:r>
          </w:p>
        </w:tc>
        <w:tc>
          <w:tcPr>
            <w:tcW w:type="dxa" w:w="662"/>
          </w:tcPr>
          <w:p>
            <w:pPr>
              <w:jc w:val="right"/>
            </w:pPr>
            <w:r>
              <w:rPr>
                <w:b w:val="0"/>
                <w:i w:val="0"/>
                <w:color w:val="A12D2C"/>
                <w:sz w:val="15"/>
              </w:rPr>
              <w:t>-1.3%</w:t>
            </w:r>
          </w:p>
        </w:tc>
        <w:tc>
          <w:tcPr>
            <w:tcW w:type="dxa" w:w="792"/>
          </w:tcPr>
          <w:p>
            <w:pPr>
              <w:jc w:val="right"/>
            </w:pPr>
            <w:r>
              <w:rPr>
                <w:b w:val="0"/>
                <w:i w:val="0"/>
                <w:color w:val="A12D2C"/>
                <w:sz w:val="15"/>
              </w:rPr>
              <w:t>-0.4%</w:t>
            </w:r>
          </w:p>
        </w:tc>
        <w:tc>
          <w:tcPr>
            <w:tcW w:type="dxa" w:w="1037"/>
            <w:shd w:val="clear" w:color="auto" w:fill="DCEAFB"/>
          </w:tcPr>
          <w:p>
            <w:r>
              <w:rPr>
                <w:b/>
                <w:i w:val="0"/>
                <w:color w:val="1C5CAB"/>
                <w:sz w:val="15"/>
              </w:rPr>
              <w:t>Positive</w:t>
            </w:r>
          </w:p>
        </w:tc>
        <w:tc>
          <w:tcPr>
            <w:tcW w:type="dxa" w:w="1382"/>
          </w:tcPr>
          <w:p>
            <w:r>
              <w:rPr>
                <w:b w:val="0"/>
                <w:i w:val="0"/>
                <w:sz w:val="15"/>
              </w:rPr>
              <w:t>Mostly neutral (19)</w:t>
            </w:r>
          </w:p>
        </w:tc>
        <w:tc>
          <w:tcPr>
            <w:tcW w:type="dxa" w:w="1872"/>
          </w:tcPr>
          <w:p>
            <w:r>
              <w:rPr>
                <w:b w:val="0"/>
                <w:i w:val="0"/>
                <w:sz w:val="15"/>
              </w:rPr>
              <w:t>Oversold · Weekly down</w:t>
            </w:r>
          </w:p>
        </w:tc>
        <w:tc>
          <w:tcPr>
            <w:tcW w:type="dxa" w:w="1642"/>
          </w:tcPr>
          <w:p>
            <w:r>
              <w:rPr>
                <w:b w:val="0"/>
                <w:i w:val="0"/>
                <w:sz w:val="15"/>
              </w:rPr>
              <w:t>Price went the other way</w:t>
            </w:r>
          </w:p>
        </w:tc>
      </w:tr>
      <w:tr>
        <w:tc>
          <w:tcPr>
            <w:tcW w:type="dxa" w:w="360"/>
            <w:shd w:val="clear" w:color="auto" w:fill="F7F7F5"/>
          </w:tcPr>
          <w:p>
            <w:r>
              <w:rPr>
                <w:b w:val="0"/>
                <w:i w:val="0"/>
                <w:sz w:val="15"/>
              </w:rPr>
              <w:t>4</w:t>
            </w:r>
          </w:p>
        </w:tc>
        <w:tc>
          <w:tcPr>
            <w:tcW w:type="dxa" w:w="2189"/>
            <w:shd w:val="clear" w:color="auto" w:fill="F7F7F5"/>
          </w:tcPr>
          <w:p>
            <w:r>
              <w:rPr>
                <w:b w:val="0"/>
                <w:i w:val="0"/>
                <w:sz w:val="15"/>
              </w:rPr>
              <w:t>Sembcorp Industries ★</w:t>
            </w:r>
          </w:p>
        </w:tc>
        <w:tc>
          <w:tcPr>
            <w:tcW w:type="dxa" w:w="662"/>
            <w:shd w:val="clear" w:color="auto" w:fill="F7F7F5"/>
          </w:tcPr>
          <w:p>
            <w:pPr>
              <w:jc w:val="right"/>
            </w:pPr>
            <w:r>
              <w:rPr>
                <w:b w:val="0"/>
                <w:i w:val="0"/>
                <w:color w:val="52514E"/>
                <w:sz w:val="15"/>
              </w:rPr>
              <w:t>+0.0%</w:t>
            </w:r>
          </w:p>
        </w:tc>
        <w:tc>
          <w:tcPr>
            <w:tcW w:type="dxa" w:w="792"/>
            <w:shd w:val="clear" w:color="auto" w:fill="F7F7F5"/>
          </w:tcPr>
          <w:p>
            <w:pPr>
              <w:jc w:val="right"/>
            </w:pPr>
            <w:r>
              <w:rPr>
                <w:b w:val="0"/>
                <w:i w:val="0"/>
                <w:color w:val="A12D2C"/>
                <w:sz w:val="15"/>
              </w:rPr>
              <w:t>-2.5%</w:t>
            </w:r>
          </w:p>
        </w:tc>
        <w:tc>
          <w:tcPr>
            <w:tcW w:type="dxa" w:w="1037"/>
            <w:shd w:val="clear" w:color="auto" w:fill="EFEEEA"/>
          </w:tcPr>
          <w:p>
            <w:r>
              <w:rPr>
                <w:b/>
                <w:i w:val="0"/>
                <w:color w:val="52514E"/>
                <w:sz w:val="15"/>
              </w:rPr>
              <w:t>Neutral</w:t>
            </w:r>
          </w:p>
        </w:tc>
        <w:tc>
          <w:tcPr>
            <w:tcW w:type="dxa" w:w="1382"/>
            <w:shd w:val="clear" w:color="auto" w:fill="F7F7F5"/>
          </w:tcPr>
          <w:p>
            <w:r>
              <w:rPr>
                <w:b w:val="0"/>
                <w:i w:val="0"/>
                <w:sz w:val="15"/>
              </w:rPr>
              <w:t>Mixed (25)</w:t>
            </w:r>
          </w:p>
        </w:tc>
        <w:tc>
          <w:tcPr>
            <w:tcW w:type="dxa" w:w="1872"/>
            <w:shd w:val="clear" w:color="auto" w:fill="F7F7F5"/>
          </w:tcPr>
          <w:p>
            <w:r>
              <w:rPr>
                <w:b w:val="0"/>
                <w:i w:val="0"/>
                <w:sz w:val="15"/>
              </w:rPr>
              <w:t>Above avg price</w:t>
            </w:r>
          </w:p>
        </w:tc>
        <w:tc>
          <w:tcPr>
            <w:tcW w:type="dxa" w:w="1642"/>
            <w:shd w:val="clear" w:color="auto" w:fill="F7F7F5"/>
          </w:tcPr>
          <w:p>
            <w:r>
              <w:rPr>
                <w:b w:val="0"/>
                <w:i w:val="0"/>
                <w:sz w:val="15"/>
              </w:rPr>
              <w:t>No signal, little move</w:t>
            </w:r>
          </w:p>
        </w:tc>
      </w:tr>
      <w:tr>
        <w:tc>
          <w:tcPr>
            <w:tcW w:type="dxa" w:w="360"/>
          </w:tcPr>
          <w:p>
            <w:r>
              <w:rPr>
                <w:b w:val="0"/>
                <w:i w:val="0"/>
                <w:sz w:val="15"/>
              </w:rPr>
              <w:t>5</w:t>
            </w:r>
          </w:p>
        </w:tc>
        <w:tc>
          <w:tcPr>
            <w:tcW w:type="dxa" w:w="2189"/>
          </w:tcPr>
          <w:p>
            <w:r>
              <w:rPr>
                <w:b w:val="0"/>
                <w:i w:val="0"/>
                <w:sz w:val="15"/>
              </w:rPr>
              <w:t>Keppel Corp ★</w:t>
            </w:r>
          </w:p>
        </w:tc>
        <w:tc>
          <w:tcPr>
            <w:tcW w:type="dxa" w:w="662"/>
          </w:tcPr>
          <w:p>
            <w:pPr>
              <w:jc w:val="right"/>
            </w:pPr>
            <w:r>
              <w:rPr>
                <w:b w:val="0"/>
                <w:i w:val="0"/>
                <w:color w:val="1C5CAB"/>
                <w:sz w:val="15"/>
              </w:rPr>
              <w:t>+0.4%</w:t>
            </w:r>
          </w:p>
        </w:tc>
        <w:tc>
          <w:tcPr>
            <w:tcW w:type="dxa" w:w="792"/>
          </w:tcPr>
          <w:p>
            <w:pPr>
              <w:jc w:val="right"/>
            </w:pPr>
            <w:r>
              <w:rPr>
                <w:b w:val="0"/>
                <w:i w:val="0"/>
                <w:color w:val="A12D2C"/>
                <w:sz w:val="15"/>
              </w:rPr>
              <w:t>-2.3%</w:t>
            </w:r>
          </w:p>
        </w:tc>
        <w:tc>
          <w:tcPr>
            <w:tcW w:type="dxa" w:w="1037"/>
            <w:shd w:val="clear" w:color="auto" w:fill="EFEEEA"/>
          </w:tcPr>
          <w:p>
            <w:r>
              <w:rPr>
                <w:b/>
                <w:i w:val="0"/>
                <w:color w:val="52514E"/>
                <w:sz w:val="15"/>
              </w:rPr>
              <w:t>Neutral</w:t>
            </w:r>
          </w:p>
        </w:tc>
        <w:tc>
          <w:tcPr>
            <w:tcW w:type="dxa" w:w="1382"/>
          </w:tcPr>
          <w:p>
            <w:r>
              <w:rPr>
                <w:b w:val="0"/>
                <w:i w:val="0"/>
                <w:sz w:val="15"/>
              </w:rPr>
              <w:t>Mostly neutral (31)</w:t>
            </w:r>
          </w:p>
        </w:tc>
        <w:tc>
          <w:tcPr>
            <w:tcW w:type="dxa" w:w="1872"/>
          </w:tcPr>
          <w:p>
            <w:r>
              <w:rPr>
                <w:b w:val="0"/>
                <w:i w:val="0"/>
                <w:sz w:val="15"/>
              </w:rPr>
              <w:t>—</w:t>
            </w:r>
          </w:p>
        </w:tc>
        <w:tc>
          <w:tcPr>
            <w:tcW w:type="dxa" w:w="1642"/>
          </w:tcPr>
          <w:p>
            <w:r>
              <w:rPr>
                <w:b w:val="0"/>
                <w:i w:val="0"/>
                <w:sz w:val="15"/>
              </w:rPr>
              <w:t>No signal, little move</w:t>
            </w:r>
          </w:p>
        </w:tc>
      </w:tr>
      <w:tr>
        <w:tc>
          <w:tcPr>
            <w:tcW w:type="dxa" w:w="360"/>
            <w:shd w:val="clear" w:color="auto" w:fill="F7F7F5"/>
          </w:tcPr>
          <w:p>
            <w:r>
              <w:rPr>
                <w:b w:val="0"/>
                <w:i w:val="0"/>
                <w:sz w:val="15"/>
              </w:rPr>
              <w:t>6</w:t>
            </w:r>
          </w:p>
        </w:tc>
        <w:tc>
          <w:tcPr>
            <w:tcW w:type="dxa" w:w="2189"/>
            <w:shd w:val="clear" w:color="auto" w:fill="F7F7F5"/>
          </w:tcPr>
          <w:p>
            <w:r>
              <w:rPr>
                <w:b w:val="0"/>
                <w:i w:val="0"/>
                <w:sz w:val="15"/>
              </w:rPr>
              <w:t>DBS Group</w:t>
            </w:r>
          </w:p>
        </w:tc>
        <w:tc>
          <w:tcPr>
            <w:tcW w:type="dxa" w:w="662"/>
            <w:shd w:val="clear" w:color="auto" w:fill="F7F7F5"/>
          </w:tcPr>
          <w:p>
            <w:pPr>
              <w:jc w:val="right"/>
            </w:pPr>
            <w:r>
              <w:rPr>
                <w:b w:val="0"/>
                <w:i w:val="0"/>
                <w:color w:val="1C5CAB"/>
                <w:sz w:val="15"/>
              </w:rPr>
              <w:t>+0.7%</w:t>
            </w:r>
          </w:p>
        </w:tc>
        <w:tc>
          <w:tcPr>
            <w:tcW w:type="dxa" w:w="792"/>
            <w:shd w:val="clear" w:color="auto" w:fill="F7F7F5"/>
          </w:tcPr>
          <w:p>
            <w:pPr>
              <w:jc w:val="right"/>
            </w:pPr>
            <w:r>
              <w:rPr>
                <w:b w:val="0"/>
                <w:i w:val="0"/>
                <w:color w:val="A12D2C"/>
                <w:sz w:val="15"/>
              </w:rPr>
              <w:t>-0.4%</w:t>
            </w:r>
          </w:p>
        </w:tc>
        <w:tc>
          <w:tcPr>
            <w:tcW w:type="dxa" w:w="1037"/>
            <w:shd w:val="clear" w:color="auto" w:fill="EFEEEA"/>
          </w:tcPr>
          <w:p>
            <w:r>
              <w:rPr>
                <w:b/>
                <w:i w:val="0"/>
                <w:color w:val="52514E"/>
                <w:sz w:val="15"/>
              </w:rPr>
              <w:t>Neutral</w:t>
            </w:r>
          </w:p>
        </w:tc>
        <w:tc>
          <w:tcPr>
            <w:tcW w:type="dxa" w:w="1382"/>
            <w:shd w:val="clear" w:color="auto" w:fill="F7F7F5"/>
          </w:tcPr>
          <w:p>
            <w:r>
              <w:rPr>
                <w:b w:val="0"/>
                <w:i w:val="0"/>
                <w:sz w:val="15"/>
              </w:rPr>
              <w:t>Mixed (50)</w:t>
            </w:r>
          </w:p>
        </w:tc>
        <w:tc>
          <w:tcPr>
            <w:tcW w:type="dxa" w:w="1872"/>
            <w:shd w:val="clear" w:color="auto" w:fill="F7F7F5"/>
          </w:tcPr>
          <w:p>
            <w:r>
              <w:rPr>
                <w:b w:val="0"/>
                <w:i w:val="0"/>
                <w:sz w:val="15"/>
              </w:rPr>
              <w:t>Weekly up · Above avg price</w:t>
            </w:r>
          </w:p>
        </w:tc>
        <w:tc>
          <w:tcPr>
            <w:tcW w:type="dxa" w:w="1642"/>
            <w:shd w:val="clear" w:color="auto" w:fill="F7F7F5"/>
          </w:tcPr>
          <w:p>
            <w:r>
              <w:rPr>
                <w:b w:val="0"/>
                <w:i w:val="0"/>
                <w:sz w:val="15"/>
              </w:rPr>
              <w:t>Moved without a signal</w:t>
            </w:r>
          </w:p>
        </w:tc>
      </w:tr>
      <w:tr>
        <w:tc>
          <w:tcPr>
            <w:tcW w:type="dxa" w:w="360"/>
          </w:tcPr>
          <w:p>
            <w:r>
              <w:rPr>
                <w:b w:val="0"/>
                <w:i w:val="0"/>
                <w:sz w:val="15"/>
              </w:rPr>
              <w:t>7</w:t>
            </w:r>
          </w:p>
        </w:tc>
        <w:tc>
          <w:tcPr>
            <w:tcW w:type="dxa" w:w="2189"/>
          </w:tcPr>
          <w:p>
            <w:r>
              <w:rPr>
                <w:b w:val="0"/>
                <w:i w:val="0"/>
                <w:sz w:val="15"/>
              </w:rPr>
              <w:t>OCBC Bank</w:t>
            </w:r>
          </w:p>
        </w:tc>
        <w:tc>
          <w:tcPr>
            <w:tcW w:type="dxa" w:w="662"/>
          </w:tcPr>
          <w:p>
            <w:pPr>
              <w:jc w:val="right"/>
            </w:pPr>
            <w:r>
              <w:rPr>
                <w:b w:val="0"/>
                <w:i w:val="0"/>
                <w:color w:val="1C5CAB"/>
                <w:sz w:val="15"/>
              </w:rPr>
              <w:t>+0.9%</w:t>
            </w:r>
          </w:p>
        </w:tc>
        <w:tc>
          <w:tcPr>
            <w:tcW w:type="dxa" w:w="792"/>
          </w:tcPr>
          <w:p>
            <w:pPr>
              <w:jc w:val="right"/>
            </w:pPr>
            <w:r>
              <w:rPr>
                <w:b w:val="0"/>
                <w:i w:val="0"/>
                <w:color w:val="A12D2C"/>
                <w:sz w:val="15"/>
              </w:rPr>
              <w:t>-0.6%</w:t>
            </w:r>
          </w:p>
        </w:tc>
        <w:tc>
          <w:tcPr>
            <w:tcW w:type="dxa" w:w="1037"/>
            <w:shd w:val="clear" w:color="auto" w:fill="EFEEEA"/>
          </w:tcPr>
          <w:p>
            <w:r>
              <w:rPr>
                <w:b/>
                <w:i w:val="0"/>
                <w:color w:val="52514E"/>
                <w:sz w:val="15"/>
              </w:rPr>
              <w:t>Neutral</w:t>
            </w:r>
          </w:p>
        </w:tc>
        <w:tc>
          <w:tcPr>
            <w:tcW w:type="dxa" w:w="1382"/>
          </w:tcPr>
          <w:p>
            <w:r>
              <w:rPr>
                <w:b w:val="0"/>
                <w:i w:val="0"/>
                <w:sz w:val="15"/>
              </w:rPr>
              <w:t>Mixed (50)</w:t>
            </w:r>
          </w:p>
        </w:tc>
        <w:tc>
          <w:tcPr>
            <w:tcW w:type="dxa" w:w="1872"/>
          </w:tcPr>
          <w:p>
            <w:r>
              <w:rPr>
                <w:b w:val="0"/>
                <w:i w:val="0"/>
                <w:sz w:val="15"/>
              </w:rPr>
              <w:t>Weekly up · Above avg price</w:t>
            </w:r>
          </w:p>
        </w:tc>
        <w:tc>
          <w:tcPr>
            <w:tcW w:type="dxa" w:w="1642"/>
          </w:tcPr>
          <w:p>
            <w:r>
              <w:rPr>
                <w:b w:val="0"/>
                <w:i w:val="0"/>
                <w:sz w:val="15"/>
              </w:rPr>
              <w:t>Moved without a signal</w:t>
            </w:r>
          </w:p>
        </w:tc>
      </w:tr>
      <w:tr>
        <w:tc>
          <w:tcPr>
            <w:tcW w:type="dxa" w:w="360"/>
            <w:shd w:val="clear" w:color="auto" w:fill="F7F7F5"/>
          </w:tcPr>
          <w:p>
            <w:r>
              <w:rPr>
                <w:b w:val="0"/>
                <w:i w:val="0"/>
                <w:sz w:val="15"/>
              </w:rPr>
              <w:t>8</w:t>
            </w:r>
          </w:p>
        </w:tc>
        <w:tc>
          <w:tcPr>
            <w:tcW w:type="dxa" w:w="2189"/>
            <w:shd w:val="clear" w:color="auto" w:fill="F7F7F5"/>
          </w:tcPr>
          <w:p>
            <w:r>
              <w:rPr>
                <w:b w:val="0"/>
                <w:i w:val="0"/>
                <w:sz w:val="15"/>
              </w:rPr>
              <w:t>Singtel ★</w:t>
            </w:r>
          </w:p>
        </w:tc>
        <w:tc>
          <w:tcPr>
            <w:tcW w:type="dxa" w:w="662"/>
            <w:shd w:val="clear" w:color="auto" w:fill="F7F7F5"/>
          </w:tcPr>
          <w:p>
            <w:pPr>
              <w:jc w:val="right"/>
            </w:pPr>
            <w:r>
              <w:rPr>
                <w:b w:val="0"/>
                <w:i w:val="0"/>
                <w:color w:val="A12D2C"/>
                <w:sz w:val="15"/>
              </w:rPr>
              <w:t>-0.5%</w:t>
            </w:r>
          </w:p>
        </w:tc>
        <w:tc>
          <w:tcPr>
            <w:tcW w:type="dxa" w:w="792"/>
            <w:shd w:val="clear" w:color="auto" w:fill="F7F7F5"/>
          </w:tcPr>
          <w:p>
            <w:pPr>
              <w:jc w:val="right"/>
            </w:pPr>
            <w:r>
              <w:rPr>
                <w:b w:val="0"/>
                <w:i w:val="0"/>
                <w:color w:val="A12D2C"/>
                <w:sz w:val="15"/>
              </w:rPr>
              <w:t>-2.9%</w:t>
            </w:r>
          </w:p>
        </w:tc>
        <w:tc>
          <w:tcPr>
            <w:tcW w:type="dxa" w:w="1037"/>
            <w:shd w:val="clear" w:color="auto" w:fill="EFEEEA"/>
          </w:tcPr>
          <w:p>
            <w:r>
              <w:rPr>
                <w:b/>
                <w:i w:val="0"/>
                <w:color w:val="52514E"/>
                <w:sz w:val="15"/>
              </w:rPr>
              <w:t>Neutral</w:t>
            </w:r>
          </w:p>
        </w:tc>
        <w:tc>
          <w:tcPr>
            <w:tcW w:type="dxa" w:w="1382"/>
            <w:shd w:val="clear" w:color="auto" w:fill="F7F7F5"/>
          </w:tcPr>
          <w:p>
            <w:r>
              <w:rPr>
                <w:b w:val="0"/>
                <w:i w:val="0"/>
                <w:sz w:val="15"/>
              </w:rPr>
              <w:t>Mixed (50)</w:t>
            </w:r>
          </w:p>
        </w:tc>
        <w:tc>
          <w:tcPr>
            <w:tcW w:type="dxa" w:w="1872"/>
            <w:shd w:val="clear" w:color="auto" w:fill="F7F7F5"/>
          </w:tcPr>
          <w:p>
            <w:r>
              <w:rPr>
                <w:b w:val="0"/>
                <w:i w:val="0"/>
                <w:sz w:val="15"/>
              </w:rPr>
              <w:t>Below range</w:t>
            </w:r>
          </w:p>
        </w:tc>
        <w:tc>
          <w:tcPr>
            <w:tcW w:type="dxa" w:w="1642"/>
            <w:shd w:val="clear" w:color="auto" w:fill="F7F7F5"/>
          </w:tcPr>
          <w:p>
            <w:r>
              <w:rPr>
                <w:b w:val="0"/>
                <w:i w:val="0"/>
                <w:sz w:val="15"/>
              </w:rPr>
              <w:t>No signal, little move</w:t>
            </w:r>
          </w:p>
        </w:tc>
      </w:tr>
      <w:tr>
        <w:tc>
          <w:tcPr>
            <w:tcW w:type="dxa" w:w="360"/>
          </w:tcPr>
          <w:p>
            <w:r>
              <w:rPr>
                <w:b w:val="0"/>
                <w:i w:val="0"/>
                <w:sz w:val="15"/>
              </w:rPr>
              <w:t>9</w:t>
            </w:r>
          </w:p>
        </w:tc>
        <w:tc>
          <w:tcPr>
            <w:tcW w:type="dxa" w:w="2189"/>
          </w:tcPr>
          <w:p>
            <w:r>
              <w:rPr>
                <w:b w:val="0"/>
                <w:i w:val="0"/>
                <w:sz w:val="15"/>
              </w:rPr>
              <w:t>Wilmar Intl</w:t>
            </w:r>
          </w:p>
        </w:tc>
        <w:tc>
          <w:tcPr>
            <w:tcW w:type="dxa" w:w="662"/>
          </w:tcPr>
          <w:p>
            <w:pPr>
              <w:jc w:val="right"/>
            </w:pPr>
            <w:r>
              <w:rPr>
                <w:b w:val="0"/>
                <w:i w:val="0"/>
                <w:color w:val="A12D2C"/>
                <w:sz w:val="15"/>
              </w:rPr>
              <w:t>-0.8%</w:t>
            </w:r>
          </w:p>
        </w:tc>
        <w:tc>
          <w:tcPr>
            <w:tcW w:type="dxa" w:w="792"/>
          </w:tcPr>
          <w:p>
            <w:pPr>
              <w:jc w:val="right"/>
            </w:pPr>
            <w:r>
              <w:rPr>
                <w:b w:val="0"/>
                <w:i w:val="0"/>
                <w:color w:val="A12D2C"/>
                <w:sz w:val="15"/>
              </w:rPr>
              <w:t>-1.9%</w:t>
            </w:r>
          </w:p>
        </w:tc>
        <w:tc>
          <w:tcPr>
            <w:tcW w:type="dxa" w:w="1037"/>
            <w:shd w:val="clear" w:color="auto" w:fill="EFEEEA"/>
          </w:tcPr>
          <w:p>
            <w:r>
              <w:rPr>
                <w:b/>
                <w:i w:val="0"/>
                <w:color w:val="52514E"/>
                <w:sz w:val="15"/>
              </w:rPr>
              <w:t>Neutral</w:t>
            </w:r>
          </w:p>
        </w:tc>
        <w:tc>
          <w:tcPr>
            <w:tcW w:type="dxa" w:w="1382"/>
          </w:tcPr>
          <w:p>
            <w:r>
              <w:rPr>
                <w:b w:val="0"/>
                <w:i w:val="0"/>
                <w:sz w:val="15"/>
              </w:rPr>
              <w:t>Mixed (19)</w:t>
            </w:r>
          </w:p>
        </w:tc>
        <w:tc>
          <w:tcPr>
            <w:tcW w:type="dxa" w:w="1872"/>
          </w:tcPr>
          <w:p>
            <w:r>
              <w:rPr>
                <w:b w:val="0"/>
                <w:i w:val="0"/>
                <w:sz w:val="15"/>
              </w:rPr>
              <w:t>Above avg price</w:t>
            </w:r>
          </w:p>
        </w:tc>
        <w:tc>
          <w:tcPr>
            <w:tcW w:type="dxa" w:w="1642"/>
          </w:tcPr>
          <w:p>
            <w:r>
              <w:rPr>
                <w:b w:val="0"/>
                <w:i w:val="0"/>
                <w:sz w:val="15"/>
              </w:rPr>
              <w:t>Moved without a signal</w:t>
            </w:r>
          </w:p>
        </w:tc>
      </w:tr>
      <w:tr>
        <w:tc>
          <w:tcPr>
            <w:tcW w:type="dxa" w:w="360"/>
            <w:shd w:val="clear" w:color="auto" w:fill="F7F7F5"/>
          </w:tcPr>
          <w:p>
            <w:r>
              <w:rPr>
                <w:b w:val="0"/>
                <w:i w:val="0"/>
                <w:sz w:val="15"/>
              </w:rPr>
              <w:t>10</w:t>
            </w:r>
          </w:p>
        </w:tc>
        <w:tc>
          <w:tcPr>
            <w:tcW w:type="dxa" w:w="2189"/>
            <w:shd w:val="clear" w:color="auto" w:fill="F7F7F5"/>
          </w:tcPr>
          <w:p>
            <w:r>
              <w:rPr>
                <w:b w:val="0"/>
                <w:i w:val="0"/>
                <w:sz w:val="15"/>
              </w:rPr>
              <w:t>ST Engineering</w:t>
            </w:r>
          </w:p>
        </w:tc>
        <w:tc>
          <w:tcPr>
            <w:tcW w:type="dxa" w:w="662"/>
            <w:shd w:val="clear" w:color="auto" w:fill="F7F7F5"/>
          </w:tcPr>
          <w:p>
            <w:pPr>
              <w:jc w:val="right"/>
            </w:pPr>
            <w:r>
              <w:rPr>
                <w:b w:val="0"/>
                <w:i w:val="0"/>
                <w:color w:val="A12D2C"/>
                <w:sz w:val="15"/>
              </w:rPr>
              <w:t>-0.4%</w:t>
            </w:r>
          </w:p>
        </w:tc>
        <w:tc>
          <w:tcPr>
            <w:tcW w:type="dxa" w:w="792"/>
            <w:shd w:val="clear" w:color="auto" w:fill="F7F7F5"/>
          </w:tcPr>
          <w:p>
            <w:pPr>
              <w:jc w:val="right"/>
            </w:pPr>
            <w:r>
              <w:rPr>
                <w:b w:val="0"/>
                <w:i w:val="0"/>
                <w:color w:val="1C5CAB"/>
                <w:sz w:val="15"/>
              </w:rPr>
              <w:t>+1.7%</w:t>
            </w:r>
          </w:p>
        </w:tc>
        <w:tc>
          <w:tcPr>
            <w:tcW w:type="dxa" w:w="1037"/>
            <w:shd w:val="clear" w:color="auto" w:fill="EFEEEA"/>
          </w:tcPr>
          <w:p>
            <w:r>
              <w:rPr>
                <w:b/>
                <w:i w:val="0"/>
                <w:color w:val="52514E"/>
                <w:sz w:val="15"/>
              </w:rPr>
              <w:t>Neutral</w:t>
            </w:r>
          </w:p>
        </w:tc>
        <w:tc>
          <w:tcPr>
            <w:tcW w:type="dxa" w:w="1382"/>
            <w:shd w:val="clear" w:color="auto" w:fill="F7F7F5"/>
          </w:tcPr>
          <w:p>
            <w:r>
              <w:rPr>
                <w:b w:val="0"/>
                <w:i w:val="0"/>
                <w:sz w:val="15"/>
              </w:rPr>
              <w:t>Mixed (43)</w:t>
            </w:r>
          </w:p>
        </w:tc>
        <w:tc>
          <w:tcPr>
            <w:tcW w:type="dxa" w:w="1872"/>
            <w:shd w:val="clear" w:color="auto" w:fill="F7F7F5"/>
          </w:tcPr>
          <w:p>
            <w:r>
              <w:rPr>
                <w:b w:val="0"/>
                <w:i w:val="0"/>
                <w:sz w:val="15"/>
              </w:rPr>
              <w:t>—</w:t>
            </w:r>
          </w:p>
        </w:tc>
        <w:tc>
          <w:tcPr>
            <w:tcW w:type="dxa" w:w="1642"/>
            <w:shd w:val="clear" w:color="auto" w:fill="F7F7F5"/>
          </w:tcPr>
          <w:p>
            <w:r>
              <w:rPr>
                <w:b w:val="0"/>
                <w:i w:val="0"/>
                <w:sz w:val="15"/>
              </w:rPr>
              <w:t>No signal, little move</w:t>
            </w:r>
          </w:p>
        </w:tc>
      </w:tr>
      <w:tr>
        <w:tc>
          <w:tcPr>
            <w:tcW w:type="dxa" w:w="360"/>
          </w:tcPr>
          <w:p>
            <w:r>
              <w:rPr>
                <w:b w:val="0"/>
                <w:i w:val="0"/>
                <w:sz w:val="15"/>
              </w:rPr>
              <w:t>11</w:t>
            </w:r>
          </w:p>
        </w:tc>
        <w:tc>
          <w:tcPr>
            <w:tcW w:type="dxa" w:w="2189"/>
          </w:tcPr>
          <w:p>
            <w:r>
              <w:rPr>
                <w:b w:val="0"/>
                <w:i w:val="0"/>
                <w:sz w:val="15"/>
              </w:rPr>
              <w:t>Mapletree Industrial</w:t>
            </w:r>
          </w:p>
        </w:tc>
        <w:tc>
          <w:tcPr>
            <w:tcW w:type="dxa" w:w="662"/>
          </w:tcPr>
          <w:p>
            <w:pPr>
              <w:jc w:val="right"/>
            </w:pPr>
            <w:r>
              <w:rPr>
                <w:b w:val="0"/>
                <w:i w:val="0"/>
                <w:color w:val="52514E"/>
                <w:sz w:val="15"/>
              </w:rPr>
              <w:t>+0.0%</w:t>
            </w:r>
          </w:p>
        </w:tc>
        <w:tc>
          <w:tcPr>
            <w:tcW w:type="dxa" w:w="792"/>
          </w:tcPr>
          <w:p>
            <w:pPr>
              <w:jc w:val="right"/>
            </w:pPr>
            <w:r>
              <w:rPr>
                <w:b w:val="0"/>
                <w:i w:val="0"/>
                <w:color w:val="52514E"/>
                <w:sz w:val="15"/>
              </w:rPr>
              <w:t>+0.0%</w:t>
            </w:r>
          </w:p>
        </w:tc>
        <w:tc>
          <w:tcPr>
            <w:tcW w:type="dxa" w:w="1037"/>
            <w:shd w:val="clear" w:color="auto" w:fill="EFEEEA"/>
          </w:tcPr>
          <w:p>
            <w:r>
              <w:rPr>
                <w:b/>
                <w:i w:val="0"/>
                <w:color w:val="52514E"/>
                <w:sz w:val="15"/>
              </w:rPr>
              <w:t>Neutral</w:t>
            </w:r>
          </w:p>
        </w:tc>
        <w:tc>
          <w:tcPr>
            <w:tcW w:type="dxa" w:w="1382"/>
          </w:tcPr>
          <w:p>
            <w:r>
              <w:rPr>
                <w:b w:val="0"/>
                <w:i w:val="0"/>
                <w:sz w:val="15"/>
              </w:rPr>
              <w:t>Mostly neutral (26)</w:t>
            </w:r>
          </w:p>
        </w:tc>
        <w:tc>
          <w:tcPr>
            <w:tcW w:type="dxa" w:w="1872"/>
          </w:tcPr>
          <w:p>
            <w:r>
              <w:rPr>
                <w:b w:val="0"/>
                <w:i w:val="0"/>
                <w:sz w:val="15"/>
              </w:rPr>
              <w:t>—</w:t>
            </w:r>
          </w:p>
        </w:tc>
        <w:tc>
          <w:tcPr>
            <w:tcW w:type="dxa" w:w="1642"/>
          </w:tcPr>
          <w:p>
            <w:r>
              <w:rPr>
                <w:b w:val="0"/>
                <w:i w:val="0"/>
                <w:sz w:val="15"/>
              </w:rPr>
              <w:t>No signal, little move</w:t>
            </w:r>
          </w:p>
        </w:tc>
      </w:tr>
      <w:tr>
        <w:tc>
          <w:tcPr>
            <w:tcW w:type="dxa" w:w="360"/>
            <w:shd w:val="clear" w:color="auto" w:fill="F7F7F5"/>
          </w:tcPr>
          <w:p>
            <w:r>
              <w:rPr>
                <w:b w:val="0"/>
                <w:i w:val="0"/>
                <w:sz w:val="15"/>
              </w:rPr>
              <w:t>12</w:t>
            </w:r>
          </w:p>
        </w:tc>
        <w:tc>
          <w:tcPr>
            <w:tcW w:type="dxa" w:w="2189"/>
            <w:shd w:val="clear" w:color="auto" w:fill="F7F7F5"/>
          </w:tcPr>
          <w:p>
            <w:r>
              <w:rPr>
                <w:b w:val="0"/>
                <w:i w:val="0"/>
                <w:sz w:val="15"/>
              </w:rPr>
              <w:t>CapitaLand Integ. Comm. Trust</w:t>
            </w:r>
          </w:p>
        </w:tc>
        <w:tc>
          <w:tcPr>
            <w:tcW w:type="dxa" w:w="662"/>
            <w:shd w:val="clear" w:color="auto" w:fill="F7F7F5"/>
          </w:tcPr>
          <w:p>
            <w:pPr>
              <w:jc w:val="right"/>
            </w:pPr>
            <w:r>
              <w:rPr>
                <w:b w:val="0"/>
                <w:i w:val="0"/>
                <w:color w:val="A12D2C"/>
                <w:sz w:val="15"/>
              </w:rPr>
              <w:t>-1.3%</w:t>
            </w:r>
          </w:p>
        </w:tc>
        <w:tc>
          <w:tcPr>
            <w:tcW w:type="dxa" w:w="792"/>
            <w:shd w:val="clear" w:color="auto" w:fill="F7F7F5"/>
          </w:tcPr>
          <w:p>
            <w:pPr>
              <w:jc w:val="right"/>
            </w:pPr>
            <w:r>
              <w:rPr>
                <w:b w:val="0"/>
                <w:i w:val="0"/>
                <w:color w:val="A12D2C"/>
                <w:sz w:val="15"/>
              </w:rPr>
              <w:t>-1.3%</w:t>
            </w:r>
          </w:p>
        </w:tc>
        <w:tc>
          <w:tcPr>
            <w:tcW w:type="dxa" w:w="1037"/>
            <w:shd w:val="clear" w:color="auto" w:fill="EFEEEA"/>
          </w:tcPr>
          <w:p>
            <w:r>
              <w:rPr>
                <w:b/>
                <w:i w:val="0"/>
                <w:color w:val="52514E"/>
                <w:sz w:val="15"/>
              </w:rPr>
              <w:t>Neutral</w:t>
            </w:r>
          </w:p>
        </w:tc>
        <w:tc>
          <w:tcPr>
            <w:tcW w:type="dxa" w:w="1382"/>
            <w:shd w:val="clear" w:color="auto" w:fill="F7F7F5"/>
          </w:tcPr>
          <w:p>
            <w:r>
              <w:rPr>
                <w:b w:val="0"/>
                <w:i w:val="0"/>
                <w:sz w:val="15"/>
              </w:rPr>
              <w:t>Mostly neutral (23)</w:t>
            </w:r>
          </w:p>
        </w:tc>
        <w:tc>
          <w:tcPr>
            <w:tcW w:type="dxa" w:w="1872"/>
            <w:shd w:val="clear" w:color="auto" w:fill="F7F7F5"/>
          </w:tcPr>
          <w:p>
            <w:r>
              <w:rPr>
                <w:b w:val="0"/>
                <w:i w:val="0"/>
                <w:sz w:val="15"/>
              </w:rPr>
              <w:t>—</w:t>
            </w:r>
          </w:p>
        </w:tc>
        <w:tc>
          <w:tcPr>
            <w:tcW w:type="dxa" w:w="1642"/>
            <w:shd w:val="clear" w:color="auto" w:fill="F7F7F5"/>
          </w:tcPr>
          <w:p>
            <w:r>
              <w:rPr>
                <w:b w:val="0"/>
                <w:i w:val="0"/>
                <w:sz w:val="15"/>
              </w:rPr>
              <w:t>Moved without a signal</w:t>
            </w:r>
          </w:p>
        </w:tc>
      </w:tr>
      <w:tr>
        <w:tc>
          <w:tcPr>
            <w:tcW w:type="dxa" w:w="360"/>
          </w:tcPr>
          <w:p>
            <w:r>
              <w:rPr>
                <w:b w:val="0"/>
                <w:i w:val="0"/>
                <w:sz w:val="15"/>
              </w:rPr>
              <w:t>13</w:t>
            </w:r>
          </w:p>
        </w:tc>
        <w:tc>
          <w:tcPr>
            <w:tcW w:type="dxa" w:w="2189"/>
          </w:tcPr>
          <w:p>
            <w:r>
              <w:rPr>
                <w:b w:val="0"/>
                <w:i w:val="0"/>
                <w:sz w:val="15"/>
              </w:rPr>
              <w:t>Raffles Medical Group</w:t>
            </w:r>
          </w:p>
        </w:tc>
        <w:tc>
          <w:tcPr>
            <w:tcW w:type="dxa" w:w="662"/>
          </w:tcPr>
          <w:p>
            <w:pPr>
              <w:jc w:val="right"/>
            </w:pPr>
            <w:r>
              <w:rPr>
                <w:b w:val="0"/>
                <w:i w:val="0"/>
                <w:color w:val="A12D2C"/>
                <w:sz w:val="15"/>
              </w:rPr>
              <w:t>-1.2%</w:t>
            </w:r>
          </w:p>
        </w:tc>
        <w:tc>
          <w:tcPr>
            <w:tcW w:type="dxa" w:w="792"/>
          </w:tcPr>
          <w:p>
            <w:pPr>
              <w:jc w:val="right"/>
            </w:pPr>
            <w:r>
              <w:rPr>
                <w:b w:val="0"/>
                <w:i w:val="0"/>
                <w:color w:val="A12D2C"/>
                <w:sz w:val="15"/>
              </w:rPr>
              <w:t>-0.6%</w:t>
            </w:r>
          </w:p>
        </w:tc>
        <w:tc>
          <w:tcPr>
            <w:tcW w:type="dxa" w:w="1037"/>
            <w:shd w:val="clear" w:color="auto" w:fill="EFEEEA"/>
          </w:tcPr>
          <w:p>
            <w:r>
              <w:rPr>
                <w:b/>
                <w:i w:val="0"/>
                <w:color w:val="52514E"/>
                <w:sz w:val="15"/>
              </w:rPr>
              <w:t>Neutral</w:t>
            </w:r>
          </w:p>
        </w:tc>
        <w:tc>
          <w:tcPr>
            <w:tcW w:type="dxa" w:w="1382"/>
          </w:tcPr>
          <w:p>
            <w:r>
              <w:rPr>
                <w:b w:val="0"/>
                <w:i w:val="0"/>
                <w:sz w:val="15"/>
              </w:rPr>
              <w:t>Mixed (29)</w:t>
            </w:r>
          </w:p>
        </w:tc>
        <w:tc>
          <w:tcPr>
            <w:tcW w:type="dxa" w:w="1872"/>
          </w:tcPr>
          <w:p>
            <w:r>
              <w:rPr>
                <w:b w:val="0"/>
                <w:i w:val="0"/>
                <w:sz w:val="15"/>
              </w:rPr>
              <w:t>Weekly down</w:t>
            </w:r>
          </w:p>
        </w:tc>
        <w:tc>
          <w:tcPr>
            <w:tcW w:type="dxa" w:w="1642"/>
          </w:tcPr>
          <w:p>
            <w:r>
              <w:rPr>
                <w:b w:val="0"/>
                <w:i w:val="0"/>
                <w:sz w:val="15"/>
              </w:rPr>
              <w:t>Moved without a signal</w:t>
            </w:r>
          </w:p>
        </w:tc>
      </w:tr>
      <w:tr>
        <w:tc>
          <w:tcPr>
            <w:tcW w:type="dxa" w:w="360"/>
            <w:shd w:val="clear" w:color="auto" w:fill="F7F7F5"/>
          </w:tcPr>
          <w:p>
            <w:r>
              <w:rPr>
                <w:b w:val="0"/>
                <w:i w:val="0"/>
                <w:sz w:val="15"/>
              </w:rPr>
              <w:t>14</w:t>
            </w:r>
          </w:p>
        </w:tc>
        <w:tc>
          <w:tcPr>
            <w:tcW w:type="dxa" w:w="2189"/>
            <w:shd w:val="clear" w:color="auto" w:fill="F7F7F5"/>
          </w:tcPr>
          <w:p>
            <w:r>
              <w:rPr>
                <w:b w:val="0"/>
                <w:i w:val="0"/>
                <w:sz w:val="15"/>
              </w:rPr>
              <w:t>Mapletree Pan Asia Comm. Trust</w:t>
            </w:r>
          </w:p>
        </w:tc>
        <w:tc>
          <w:tcPr>
            <w:tcW w:type="dxa" w:w="662"/>
            <w:shd w:val="clear" w:color="auto" w:fill="F7F7F5"/>
          </w:tcPr>
          <w:p>
            <w:pPr>
              <w:jc w:val="right"/>
            </w:pPr>
            <w:r>
              <w:rPr>
                <w:b w:val="0"/>
                <w:i w:val="0"/>
                <w:color w:val="A12D2C"/>
                <w:sz w:val="15"/>
              </w:rPr>
              <w:t>-0.8%</w:t>
            </w:r>
          </w:p>
        </w:tc>
        <w:tc>
          <w:tcPr>
            <w:tcW w:type="dxa" w:w="792"/>
            <w:shd w:val="clear" w:color="auto" w:fill="F7F7F5"/>
          </w:tcPr>
          <w:p>
            <w:pPr>
              <w:jc w:val="right"/>
            </w:pPr>
            <w:r>
              <w:rPr>
                <w:b w:val="0"/>
                <w:i w:val="0"/>
                <w:color w:val="52514E"/>
                <w:sz w:val="15"/>
              </w:rPr>
              <w:t>+0.0%</w:t>
            </w:r>
          </w:p>
        </w:tc>
        <w:tc>
          <w:tcPr>
            <w:tcW w:type="dxa" w:w="1037"/>
            <w:shd w:val="clear" w:color="auto" w:fill="EFEEEA"/>
          </w:tcPr>
          <w:p>
            <w:r>
              <w:rPr>
                <w:b/>
                <w:i w:val="0"/>
                <w:color w:val="52514E"/>
                <w:sz w:val="15"/>
              </w:rPr>
              <w:t>Neutral</w:t>
            </w:r>
          </w:p>
        </w:tc>
        <w:tc>
          <w:tcPr>
            <w:tcW w:type="dxa" w:w="1382"/>
            <w:shd w:val="clear" w:color="auto" w:fill="F7F7F5"/>
          </w:tcPr>
          <w:p>
            <w:r>
              <w:rPr>
                <w:b w:val="0"/>
                <w:i w:val="0"/>
                <w:sz w:val="15"/>
              </w:rPr>
              <w:t>Mostly neutral (21)</w:t>
            </w:r>
          </w:p>
        </w:tc>
        <w:tc>
          <w:tcPr>
            <w:tcW w:type="dxa" w:w="1872"/>
            <w:shd w:val="clear" w:color="auto" w:fill="F7F7F5"/>
          </w:tcPr>
          <w:p>
            <w:r>
              <w:rPr>
                <w:b w:val="0"/>
                <w:i w:val="0"/>
                <w:sz w:val="15"/>
              </w:rPr>
              <w:t>Weekly down</w:t>
            </w:r>
          </w:p>
        </w:tc>
        <w:tc>
          <w:tcPr>
            <w:tcW w:type="dxa" w:w="1642"/>
            <w:shd w:val="clear" w:color="auto" w:fill="F7F7F5"/>
          </w:tcPr>
          <w:p>
            <w:r>
              <w:rPr>
                <w:b w:val="0"/>
                <w:i w:val="0"/>
                <w:sz w:val="15"/>
              </w:rPr>
              <w:t>Moved without a signal</w:t>
            </w:r>
          </w:p>
        </w:tc>
      </w:tr>
      <w:tr>
        <w:tc>
          <w:tcPr>
            <w:tcW w:type="dxa" w:w="360"/>
          </w:tcPr>
          <w:p>
            <w:r>
              <w:rPr>
                <w:b w:val="0"/>
                <w:i w:val="0"/>
                <w:sz w:val="15"/>
              </w:rPr>
              <w:t>15</w:t>
            </w:r>
          </w:p>
        </w:tc>
        <w:tc>
          <w:tcPr>
            <w:tcW w:type="dxa" w:w="2189"/>
          </w:tcPr>
          <w:p>
            <w:r>
              <w:rPr>
                <w:b w:val="0"/>
                <w:i w:val="0"/>
                <w:sz w:val="15"/>
              </w:rPr>
              <w:t>ComfortDelGro</w:t>
            </w:r>
          </w:p>
        </w:tc>
        <w:tc>
          <w:tcPr>
            <w:tcW w:type="dxa" w:w="662"/>
          </w:tcPr>
          <w:p>
            <w:pPr>
              <w:jc w:val="right"/>
            </w:pPr>
            <w:r>
              <w:rPr>
                <w:b w:val="0"/>
                <w:i w:val="0"/>
                <w:color w:val="A12D2C"/>
                <w:sz w:val="15"/>
              </w:rPr>
              <w:t>-0.8%</w:t>
            </w:r>
          </w:p>
        </w:tc>
        <w:tc>
          <w:tcPr>
            <w:tcW w:type="dxa" w:w="792"/>
          </w:tcPr>
          <w:p>
            <w:pPr>
              <w:jc w:val="right"/>
            </w:pPr>
            <w:r>
              <w:rPr>
                <w:b w:val="0"/>
                <w:i w:val="0"/>
                <w:color w:val="A12D2C"/>
                <w:sz w:val="15"/>
              </w:rPr>
              <w:t>-3.1%</w:t>
            </w:r>
          </w:p>
        </w:tc>
        <w:tc>
          <w:tcPr>
            <w:tcW w:type="dxa" w:w="1037"/>
            <w:shd w:val="clear" w:color="auto" w:fill="EFEEEA"/>
          </w:tcPr>
          <w:p>
            <w:r>
              <w:rPr>
                <w:b/>
                <w:i w:val="0"/>
                <w:color w:val="52514E"/>
                <w:sz w:val="15"/>
              </w:rPr>
              <w:t>Neutral</w:t>
            </w:r>
          </w:p>
        </w:tc>
        <w:tc>
          <w:tcPr>
            <w:tcW w:type="dxa" w:w="1382"/>
          </w:tcPr>
          <w:p>
            <w:r>
              <w:rPr>
                <w:b w:val="0"/>
                <w:i w:val="0"/>
                <w:sz w:val="15"/>
              </w:rPr>
              <w:t>Mostly neutral (35)</w:t>
            </w:r>
          </w:p>
        </w:tc>
        <w:tc>
          <w:tcPr>
            <w:tcW w:type="dxa" w:w="1872"/>
          </w:tcPr>
          <w:p>
            <w:r>
              <w:rPr>
                <w:b w:val="0"/>
                <w:i w:val="0"/>
                <w:sz w:val="15"/>
              </w:rPr>
              <w:t>Weekly down · Below range</w:t>
            </w:r>
          </w:p>
        </w:tc>
        <w:tc>
          <w:tcPr>
            <w:tcW w:type="dxa" w:w="1642"/>
          </w:tcPr>
          <w:p>
            <w:r>
              <w:rPr>
                <w:b w:val="0"/>
                <w:i w:val="0"/>
                <w:sz w:val="15"/>
              </w:rPr>
              <w:t>Moved without a signal</w:t>
            </w:r>
          </w:p>
        </w:tc>
      </w:tr>
    </w:tbl>
    <w:p>
      <w:pPr>
        <w:spacing w:after="40"/>
      </w:pPr>
      <w:r>
        <w:rPr>
          <w:b w:val="0"/>
          <w:i w:val="0"/>
          <w:color w:val="52514E"/>
          <w:sz w:val="14"/>
        </w:rPr>
        <w:t>The ranking describes today: in our tests it did not predict which stocks did better the next day, so it is not a list of stocks to pick. News today: the tone and number of company articles collected today. Price chart: chart signals that fired. Price vs news: whether today's price moved with the reading (a move within ±0.6%, a normal day, counts as no reaction). ★ more company-event news than usual (earnings, dividends, upgrades). ⚑ worth a closer look (none today; meaning in the glossary).</w:t>
      </w:r>
    </w:p>
    <w:p>
      <w:pPr>
        <w:keepNext/>
        <w:pageBreakBefore/>
        <w:spacing w:before="0" w:after="40"/>
        <w:pBdr>
          <w:bottom w:val="single" w:sz="6" w:space="2" w:color="CDE2FB"/>
        </w:pBdr>
      </w:pPr>
      <w:r>
        <w:rPr>
          <w:b/>
          <w:i w:val="0"/>
          <w:color w:val="1A2E55"/>
          <w:sz w:val="26"/>
        </w:rPr>
        <w:t>2 · The last 5 trading days and what may explain them</w:t>
      </w:r>
    </w:p>
    <w:p>
      <w:pPr>
        <w:keepNext/>
      </w:pPr>
      <w:r>
        <w:rPr>
          <w:b w:val="0"/>
          <w:i w:val="0"/>
          <w:color w:val="52514E"/>
          <w:sz w:val="17"/>
        </w:rPr>
        <w:t>Each square is one day's news-and-signals reading for a stock; the bar is its price change over 15–21 Sep. Stocks are grouped by sector, best sector first.</w:t>
      </w:r>
    </w:p>
    <w:p>
      <w:pPr>
        <w:spacing w:after="40"/>
      </w:pPr>
      <w:r>
        <w:drawing>
          <wp:inline xmlns:a="http://schemas.openxmlformats.org/drawingml/2006/main" xmlns:pic="http://schemas.openxmlformats.org/drawingml/2006/picture">
            <wp:extent cx="6309360" cy="3650415"/>
            <wp:docPr id="1" name="Picture 1"/>
            <wp:cNvGraphicFramePr>
              <a:graphicFrameLocks noChangeAspect="1"/>
            </wp:cNvGraphicFramePr>
            <a:graphic>
              <a:graphicData uri="http://schemas.openxmlformats.org/drawingml/2006/picture">
                <pic:pic>
                  <pic:nvPicPr>
                    <pic:cNvPr id="0" name="week_2026-09-21.png"/>
                    <pic:cNvPicPr/>
                  </pic:nvPicPr>
                  <pic:blipFill>
                    <a:blip r:embed="rId10"/>
                    <a:stretch>
                      <a:fillRect/>
                    </a:stretch>
                  </pic:blipFill>
                  <pic:spPr>
                    <a:xfrm>
                      <a:off x="0" y="0"/>
                      <a:ext cx="6309360" cy="3650415"/>
                    </a:xfrm>
                    <a:prstGeom prst="rect"/>
                  </pic:spPr>
                </pic:pic>
              </a:graphicData>
            </a:graphic>
          </wp:inline>
        </w:drawing>
      </w:r>
    </w:p>
    <w:p>
      <w:pPr>
        <w:keepNext/>
        <w:spacing w:before="120" w:after="20"/>
      </w:pPr>
      <w:r>
        <w:rPr>
          <w:b/>
          <w:i w:val="0"/>
          <w:color w:val="1A2E55"/>
          <w:sz w:val="21"/>
        </w:rPr>
        <w:t>Where today's news adds something</w:t>
      </w:r>
    </w:p>
    <w:p>
      <w:pPr>
        <w:spacing w:after="40"/>
      </w:pPr>
      <w:r>
        <w:rPr>
          <w:b w:val="0"/>
          <w:i w:val="0"/>
          <w:color w:val="52514E"/>
          <w:sz w:val="15"/>
        </w:rPr>
        <w:t>The stocks with a positive or negative news-and-signals reading today (⚑ first, strongest first).</w:t>
      </w:r>
    </w:p>
    <w:p>
      <w:pPr>
        <w:spacing w:after="40"/>
      </w:pPr>
      <w:r>
        <w:rPr>
          <w:b w:val="0"/>
          <w:i w:val="0"/>
          <w:color w:val="52514E"/>
          <w:sz w:val="14"/>
        </w:rPr>
        <w:t>The AI summaries mention a 'geopolitical backdrop' and 'political news volume': those two rules fire every day and cancel out, so they carry no information (section 5).</w:t>
      </w:r>
    </w:p>
    <w:tbl>
      <w:tblPr>
        <w:tblW w:type="auto" w:w="0"/>
        <w:tblLook w:firstColumn="1" w:firstRow="1" w:lastColumn="0" w:lastRow="0" w:noHBand="0" w:noVBand="1" w:val="04A0"/>
        <w:tblBorders>
          <w:top w:val="nil" w:sz="4" w:color="D9D8D3"/>
          <w:left w:val="nil" w:sz="4" w:color="D9D8D3"/>
          <w:bottom w:val="nil" w:sz="4" w:color="D9D8D3"/>
          <w:right w:val="nil" w:sz="4" w:color="D9D8D3"/>
          <w:insideH w:val="nil" w:sz="4" w:color="D9D8D3"/>
          <w:insideV w:val="nil" w:sz="4" w:color="D9D8D3"/>
        </w:tblBorders>
        <w:tblLayout w:type="fixed"/>
        <w:tblCellMar>
          <w:top w:w="35" w:type="dxa"/>
          <w:bottom w:w="35" w:type="dxa"/>
          <w:left w:w="110" w:type="dxa"/>
          <w:right w:w="110" w:type="dxa"/>
        </w:tblCellMar>
      </w:tblPr>
      <w:tblGrid>
        <w:gridCol w:w="9936"/>
      </w:tblGrid>
      <w:tr>
        <w:trPr>
          <w:cantSplit/>
        </w:trPr>
        <w:tc>
          <w:tcPr>
            <w:tcW w:type="dxa" w:w="9936"/>
            <w:shd w:val="clear" w:color="auto" w:fill="F7F8FA"/>
            <w:tcBorders>
              <w:left w:val="single" w:sz="24" w:color="E34948"/>
            </w:tcBorders>
          </w:tcPr>
          <w:p>
            <w:r>
              <w:rPr>
                <w:b/>
                <w:i w:val="0"/>
                <w:color w:val="1A2E55"/>
                <w:sz w:val="21"/>
              </w:rPr>
              <w:t>SGX Group</w:t>
            </w:r>
            <w:r>
              <w:rPr>
                <w:b w:val="0"/>
                <w:i w:val="0"/>
                <w:color w:val="52514E"/>
                <w:sz w:val="17"/>
              </w:rPr>
              <w:t xml:space="preserve">   Financial Services  ·  -2.6% over 15–21 Sep</w:t>
            </w:r>
          </w:p>
          <w:p>
            <w:pPr>
              <w:spacing w:after="10" w:line="240" w:lineRule="auto"/>
            </w:pPr>
            <w:r>
              <w:rPr>
                <w:b/>
                <w:i w:val="0"/>
                <w:color w:val="1A2E55"/>
                <w:sz w:val="16"/>
              </w:rPr>
              <w:t xml:space="preserve">What happened  </w:t>
            </w:r>
            <w:r>
              <w:rPr>
                <w:b w:val="0"/>
                <w:i w:val="0"/>
                <w:sz w:val="16"/>
              </w:rPr>
              <w:t>Fell 2.6% over 15–21 Sep, most of it on Tue 15 Sep (-1.7%). Today +0.5%.</w:t>
            </w:r>
          </w:p>
          <w:p>
            <w:pPr>
              <w:spacing w:after="10" w:line="240" w:lineRule="auto"/>
            </w:pPr>
            <w:r>
              <w:rPr>
                <w:b/>
                <w:i w:val="0"/>
                <w:color w:val="1A2E55"/>
                <w:sz w:val="16"/>
              </w:rPr>
              <w:t xml:space="preserve">Today: news vs price  </w:t>
            </w:r>
            <w:r>
              <w:rPr>
                <w:b w:val="0"/>
                <w:i w:val="0"/>
                <w:sz w:val="16"/>
              </w:rPr>
              <w:t>Positive reading, but the price rose 0.5%, within a normal day's ±0.6%: the news has not shown up in the price. The forecast model expects no big move. (Pattern: Dormant.)</w:t>
            </w:r>
          </w:p>
          <w:p>
            <w:pPr>
              <w:spacing w:after="10" w:line="240" w:lineRule="auto"/>
            </w:pPr>
            <w:r>
              <w:rPr>
                <w:b/>
                <w:i w:val="0"/>
                <w:color w:val="1A2E55"/>
                <w:sz w:val="16"/>
              </w:rPr>
              <w:t xml:space="preserve">Last 5 days in context  </w:t>
            </w:r>
            <w:r>
              <w:rPr>
                <w:b w:val="0"/>
                <w:i w:val="0"/>
                <w:sz w:val="16"/>
              </w:rPr>
              <w:t>Company news collected today was mostly positive; the price fell 2.6% over 15–21 Sep, against -1.2% for the 15 stocks on average. So the company news and the price disagree.</w:t>
            </w:r>
          </w:p>
          <w:p>
            <w:pPr>
              <w:spacing w:after="10" w:line="240" w:lineRule="auto"/>
            </w:pPr>
            <w:r>
              <w:rPr>
                <w:b/>
                <w:i w:val="0"/>
                <w:color w:val="1A2E55"/>
                <w:sz w:val="16"/>
              </w:rPr>
              <w:t xml:space="preserve">News today  </w:t>
            </w:r>
            <w:r>
              <w:rPr>
                <w:b w:val="0"/>
                <w:i w:val="0"/>
                <w:sz w:val="16"/>
              </w:rPr>
              <w:t>50 articles collected today: 12 positive, 3 negative, 35 neutral (mostly positive). Event tags: dividend, earnings, merger or acquisition, upgrade.</w:t>
            </w:r>
          </w:p>
          <w:p>
            <w:pPr>
              <w:spacing w:after="10" w:line="240" w:lineRule="auto"/>
            </w:pPr>
            <w:r>
              <w:rPr>
                <w:b/>
                <w:i w:val="0"/>
                <w:color w:val="1A2E55"/>
                <w:sz w:val="16"/>
              </w:rPr>
              <w:t xml:space="preserve">Price chart  </w:t>
            </w:r>
            <w:r>
              <w:rPr>
                <w:b w:val="0"/>
                <w:i w:val="0"/>
                <w:sz w:val="16"/>
              </w:rPr>
              <w:t>RSI 25, below 30: the price fell fast ('oversold').</w:t>
            </w:r>
          </w:p>
          <w:p>
            <w:pPr>
              <w:spacing w:after="10" w:line="240" w:lineRule="auto"/>
            </w:pPr>
            <w:r>
              <w:rPr>
                <w:b/>
                <w:i w:val="0"/>
                <w:color w:val="1A2E55"/>
                <w:sz w:val="16"/>
              </w:rPr>
              <w:t xml:space="preserve">News &amp; signals reading  </w:t>
            </w:r>
            <w:r>
              <w:rPr>
                <w:b w:val="0"/>
                <w:i w:val="0"/>
                <w:sz w:val="16"/>
              </w:rPr>
              <w:t>Positive today (score +0.68; positive above +0.35, negative below −0.35), and on all 3 earlier recorded days. Without the 'oversold' signal it would be neutral.</w:t>
            </w:r>
          </w:p>
          <w:p>
            <w:pPr>
              <w:spacing w:after="10" w:line="240" w:lineRule="auto"/>
            </w:pPr>
            <w:r>
              <w:rPr>
                <w:b/>
                <w:i w:val="0"/>
                <w:color w:val="1A2E55"/>
                <w:sz w:val="16"/>
              </w:rPr>
              <w:t xml:space="preserve">Rules behind the reading  </w:t>
            </w:r>
            <w:r>
              <w:rPr>
                <w:b w:val="0"/>
                <w:i w:val="0"/>
                <w:sz w:val="16"/>
              </w:rPr>
              <w:t>Up: RSI oversold +0.38, positive company news +0.18. Market-wide: calm market +0.21, ETF options negative −0.10, political news +0.01 (unreliable, section 5).</w:t>
            </w:r>
          </w:p>
          <w:p>
            <w:pPr>
              <w:spacing w:after="10" w:line="240" w:lineRule="auto"/>
            </w:pPr>
            <w:r>
              <w:rPr>
                <w:b/>
                <w:i w:val="0"/>
                <w:color w:val="1A2E55"/>
                <w:sz w:val="16"/>
              </w:rPr>
              <w:t xml:space="preserve">AI summary of the evidence (checked)  </w:t>
            </w:r>
            <w:r>
              <w:rPr>
                <w:b w:val="0"/>
                <w:i w:val="0"/>
                <w:sz w:val="16"/>
              </w:rPr>
              <w:t>SGX Group remains positive on the back of a strong RSI oversold signal (+0.296 ML-model) and a 11.6% earnings lift reported by The Edge Singapore, which together outweigh the modest negative impact of elevated political news volume and negative options positioning. The risk‑on macro regime and low VIX of 14.73 further support a growth‑momentum bias, while positive company news sentiment and the favorable geopolitical backdrop reinforce the outlook. However, the internal contradictions—particularly the elevated political news volume and options market negative stance—suggest caution, and the ML-model negative political news tone indicates some downside risk. Overall, the positive consensus from both rule‑based and ML models, coupled with recent earnings strength, drives the positive sentiment.</w:t>
            </w:r>
          </w:p>
          <w:p>
            <w:pPr>
              <w:spacing w:after="10" w:line="240" w:lineRule="auto"/>
            </w:pPr>
            <w:r>
              <w:rPr>
                <w:b/>
                <w:i w:val="0"/>
                <w:color w:val="1A2E55"/>
                <w:sz w:val="16"/>
              </w:rPr>
              <w:t xml:space="preserve">Forecast lean  </w:t>
            </w:r>
            <w:r>
              <w:rPr>
                <w:b w:val="0"/>
                <w:i w:val="0"/>
                <w:sz w:val="16"/>
              </w:rPr>
              <w:t>No big move over the next 3 trading days (chance 50%); its normal 3-day swing is ±2.6%. Past record on this stock: below a simple rule (✗), so this call carries no weight.</w:t>
            </w:r>
          </w:p>
        </w:tc>
      </w:tr>
    </w:tbl>
    <w:p>
      <w:pPr>
        <w:spacing w:after="0" w:line="240" w:lineRule="auto"/>
      </w:pPr>
      <w:r>
        <w:rPr>
          <w:sz w:val="8"/>
        </w:rPr>
      </w:r>
    </w:p>
    <w:tbl>
      <w:tblPr>
        <w:tblW w:type="auto" w:w="0"/>
        <w:tblLook w:firstColumn="1" w:firstRow="1" w:lastColumn="0" w:lastRow="0" w:noHBand="0" w:noVBand="1" w:val="04A0"/>
        <w:tblBorders>
          <w:top w:val="nil" w:sz="4" w:color="D9D8D3"/>
          <w:left w:val="nil" w:sz="4" w:color="D9D8D3"/>
          <w:bottom w:val="nil" w:sz="4" w:color="D9D8D3"/>
          <w:right w:val="nil" w:sz="4" w:color="D9D8D3"/>
          <w:insideH w:val="nil" w:sz="4" w:color="D9D8D3"/>
          <w:insideV w:val="nil" w:sz="4" w:color="D9D8D3"/>
        </w:tblBorders>
        <w:tblLayout w:type="fixed"/>
        <w:tblCellMar>
          <w:top w:w="35" w:type="dxa"/>
          <w:bottom w:w="35" w:type="dxa"/>
          <w:left w:w="110" w:type="dxa"/>
          <w:right w:w="110" w:type="dxa"/>
        </w:tblCellMar>
      </w:tblPr>
      <w:tblGrid>
        <w:gridCol w:w="9936"/>
      </w:tblGrid>
      <w:tr>
        <w:trPr>
          <w:cantSplit/>
        </w:trPr>
        <w:tc>
          <w:tcPr>
            <w:tcW w:type="dxa" w:w="9936"/>
            <w:shd w:val="clear" w:color="auto" w:fill="F7F8FA"/>
            <w:tcBorders>
              <w:left w:val="single" w:sz="24" w:color="E34948"/>
            </w:tcBorders>
          </w:tcPr>
          <w:p>
            <w:r>
              <w:rPr>
                <w:b/>
                <w:i w:val="0"/>
                <w:color w:val="1A2E55"/>
                <w:sz w:val="21"/>
              </w:rPr>
              <w:t>UOB</w:t>
            </w:r>
            <w:r>
              <w:rPr>
                <w:b w:val="0"/>
                <w:i w:val="0"/>
                <w:color w:val="52514E"/>
                <w:sz w:val="17"/>
              </w:rPr>
              <w:t xml:space="preserve">   Banking  ·  -0.5% over 15–21 Sep</w:t>
            </w:r>
          </w:p>
          <w:p>
            <w:pPr>
              <w:spacing w:after="10" w:line="240" w:lineRule="auto"/>
            </w:pPr>
            <w:r>
              <w:rPr>
                <w:b/>
                <w:i w:val="0"/>
                <w:color w:val="1A2E55"/>
                <w:sz w:val="16"/>
              </w:rPr>
              <w:t xml:space="preserve">What happened  </w:t>
            </w:r>
            <w:r>
              <w:rPr>
                <w:b w:val="0"/>
                <w:i w:val="0"/>
                <w:sz w:val="16"/>
              </w:rPr>
              <w:t>Fell 0.5% over 15–21 Sep, including -2.4% on Tue 15 Sep. Today +0.8%.</w:t>
            </w:r>
          </w:p>
          <w:p>
            <w:pPr>
              <w:spacing w:after="10" w:line="240" w:lineRule="auto"/>
            </w:pPr>
            <w:r>
              <w:rPr>
                <w:b/>
                <w:i w:val="0"/>
                <w:color w:val="1A2E55"/>
                <w:sz w:val="16"/>
              </w:rPr>
              <w:t xml:space="preserve">Today: news vs price  </w:t>
            </w:r>
            <w:r>
              <w:rPr>
                <w:b w:val="0"/>
                <w:i w:val="0"/>
                <w:sz w:val="16"/>
              </w:rPr>
              <w:t>Positive reading and the price rose 0.8%, more than a normal day's ±0.6%: the news already shows in the price. The forecast model expects no big move from here. (Pattern: Move complete.)</w:t>
            </w:r>
          </w:p>
          <w:p>
            <w:pPr>
              <w:spacing w:after="10" w:line="240" w:lineRule="auto"/>
            </w:pPr>
            <w:r>
              <w:rPr>
                <w:b/>
                <w:i w:val="0"/>
                <w:color w:val="1A2E55"/>
                <w:sz w:val="16"/>
              </w:rPr>
              <w:t xml:space="preserve">Last 5 days in context  </w:t>
            </w:r>
            <w:r>
              <w:rPr>
                <w:b w:val="0"/>
                <w:i w:val="0"/>
                <w:sz w:val="16"/>
              </w:rPr>
              <w:t>Company news collected today was mixed; the price fell 0.5% over 15–21 Sep, its 2 sector peers -0.5% on average, and the 15 stocks -1.2% on average. So it barely moved over the period.</w:t>
            </w:r>
          </w:p>
          <w:p>
            <w:pPr>
              <w:spacing w:after="10" w:line="240" w:lineRule="auto"/>
            </w:pPr>
            <w:r>
              <w:rPr>
                <w:b/>
                <w:i w:val="0"/>
                <w:color w:val="1A2E55"/>
                <w:sz w:val="16"/>
              </w:rPr>
              <w:t xml:space="preserve">News today  </w:t>
            </w:r>
            <w:r>
              <w:rPr>
                <w:b w:val="0"/>
                <w:i w:val="0"/>
                <w:sz w:val="16"/>
              </w:rPr>
              <w:t>50 articles collected today: 7 positive, 7 negative, 36 neutral (mixed). Event tags: dividend, earnings, merger or acquisition, upgrade.</w:t>
            </w:r>
          </w:p>
          <w:p>
            <w:pPr>
              <w:spacing w:after="10" w:line="240" w:lineRule="auto"/>
            </w:pPr>
            <w:r>
              <w:rPr>
                <w:b/>
                <w:i w:val="0"/>
                <w:color w:val="1A2E55"/>
                <w:sz w:val="16"/>
              </w:rPr>
              <w:t xml:space="preserve">Price chart  </w:t>
            </w:r>
            <w:r>
              <w:rPr>
                <w:b w:val="0"/>
                <w:i w:val="0"/>
                <w:sz w:val="16"/>
              </w:rPr>
              <w:t>RSI 56, between 30 and 70: no unusually fast move; weekly trend up; price above its volume-weighted average.</w:t>
            </w:r>
          </w:p>
          <w:p>
            <w:pPr>
              <w:spacing w:after="10" w:line="240" w:lineRule="auto"/>
            </w:pPr>
            <w:r>
              <w:rPr>
                <w:b/>
                <w:i w:val="0"/>
                <w:color w:val="1A2E55"/>
                <w:sz w:val="16"/>
              </w:rPr>
              <w:t xml:space="preserve">News &amp; signals reading  </w:t>
            </w:r>
            <w:r>
              <w:rPr>
                <w:b w:val="0"/>
                <w:i w:val="0"/>
                <w:sz w:val="16"/>
              </w:rPr>
              <w:t>Positive today (score +0.49; positive above +0.35, negative below −0.35), but on none of the 3 earlier recorded days. It needs both the extra event news and the weekly trend: without either it would be neutral.</w:t>
            </w:r>
          </w:p>
          <w:p>
            <w:pPr>
              <w:spacing w:after="10" w:line="240" w:lineRule="auto"/>
            </w:pPr>
            <w:r>
              <w:rPr>
                <w:b/>
                <w:i w:val="0"/>
                <w:color w:val="1A2E55"/>
                <w:sz w:val="16"/>
              </w:rPr>
              <w:t xml:space="preserve">Rules behind the reading  </w:t>
            </w:r>
            <w:r>
              <w:rPr>
                <w:b w:val="0"/>
                <w:i w:val="0"/>
                <w:sz w:val="16"/>
              </w:rPr>
              <w:t>Up: more event news +0.20, weekly trend up +0.15, above average price +0.02. Market-wide: calm market +0.21, ETF options negative −0.10, political news +0.01 (unreliable, section 5).</w:t>
            </w:r>
          </w:p>
          <w:p>
            <w:pPr>
              <w:spacing w:after="10" w:line="240" w:lineRule="auto"/>
            </w:pPr>
            <w:r>
              <w:rPr>
                <w:b/>
                <w:i w:val="0"/>
                <w:color w:val="1A2E55"/>
                <w:sz w:val="16"/>
              </w:rPr>
              <w:t xml:space="preserve">AI summary of the evidence (checked)  </w:t>
            </w:r>
            <w:r>
              <w:rPr>
                <w:b w:val="0"/>
                <w:i w:val="0"/>
                <w:sz w:val="16"/>
              </w:rPr>
              <w:t>UOB maintains a positive outlook driven by a favorable geopolitical backdrop, a risk‑on macro regime, and recent positive corporate events such as the £750m covered bond issuance. High news coverage volume and a share of positive headlines—including the S$26.31 scrip dividend announcement—along with the stock trading above VWAP reinforce this positive stance. However, elevated political news volume and negative options market positioning, coupled with slightly negative average news sentiment and mild RSI negative momentum, introduce some caution.</w:t>
            </w:r>
          </w:p>
          <w:p>
            <w:pPr>
              <w:spacing w:after="10" w:line="240" w:lineRule="auto"/>
            </w:pPr>
            <w:r>
              <w:rPr>
                <w:b/>
                <w:i w:val="0"/>
                <w:color w:val="1A2E55"/>
                <w:sz w:val="16"/>
              </w:rPr>
              <w:t xml:space="preserve">Forecast lean  </w:t>
            </w:r>
            <w:r>
              <w:rPr>
                <w:b w:val="0"/>
                <w:i w:val="0"/>
                <w:sz w:val="16"/>
              </w:rPr>
              <w:t>No big move over the next 3 trading days (chance 43%); its normal 3-day swing is ±1.9%. Past record on this stock: below a simple rule (✗), so this call carries no weight.</w:t>
            </w:r>
          </w:p>
        </w:tc>
      </w:tr>
    </w:tbl>
    <w:p>
      <w:pPr>
        <w:spacing w:after="0" w:line="240" w:lineRule="auto"/>
      </w:pPr>
      <w:r>
        <w:rPr>
          <w:sz w:val="8"/>
        </w:rPr>
      </w:r>
    </w:p>
    <w:tbl>
      <w:tblPr>
        <w:tblW w:type="auto" w:w="0"/>
        <w:tblLook w:firstColumn="1" w:firstRow="1" w:lastColumn="0" w:lastRow="0" w:noHBand="0" w:noVBand="1" w:val="04A0"/>
        <w:tblBorders>
          <w:top w:val="nil" w:sz="4" w:color="D9D8D3"/>
          <w:left w:val="nil" w:sz="4" w:color="D9D8D3"/>
          <w:bottom w:val="nil" w:sz="4" w:color="D9D8D3"/>
          <w:right w:val="nil" w:sz="4" w:color="D9D8D3"/>
          <w:insideH w:val="nil" w:sz="4" w:color="D9D8D3"/>
          <w:insideV w:val="nil" w:sz="4" w:color="D9D8D3"/>
        </w:tblBorders>
        <w:tblLayout w:type="fixed"/>
        <w:tblCellMar>
          <w:top w:w="35" w:type="dxa"/>
          <w:bottom w:w="35" w:type="dxa"/>
          <w:left w:w="110" w:type="dxa"/>
          <w:right w:w="110" w:type="dxa"/>
        </w:tblCellMar>
      </w:tblPr>
      <w:tblGrid>
        <w:gridCol w:w="9936"/>
      </w:tblGrid>
      <w:tr>
        <w:trPr>
          <w:cantSplit/>
        </w:trPr>
        <w:tc>
          <w:tcPr>
            <w:tcW w:type="dxa" w:w="9936"/>
            <w:shd w:val="clear" w:color="auto" w:fill="F7F8FA"/>
            <w:tcBorders>
              <w:left w:val="single" w:sz="24" w:color="E34948"/>
            </w:tcBorders>
          </w:tcPr>
          <w:p>
            <w:r>
              <w:rPr>
                <w:b/>
                <w:i w:val="0"/>
                <w:color w:val="1A2E55"/>
                <w:sz w:val="21"/>
              </w:rPr>
              <w:t>Ascendas REIT</w:t>
            </w:r>
            <w:r>
              <w:rPr>
                <w:b w:val="0"/>
                <w:i w:val="0"/>
                <w:color w:val="52514E"/>
                <w:sz w:val="17"/>
              </w:rPr>
              <w:t xml:space="preserve">   REIT  ·  -0.4% over 15–21 Sep</w:t>
            </w:r>
          </w:p>
          <w:p>
            <w:pPr>
              <w:spacing w:after="10" w:line="240" w:lineRule="auto"/>
            </w:pPr>
            <w:r>
              <w:rPr>
                <w:b/>
                <w:i w:val="0"/>
                <w:color w:val="1A2E55"/>
                <w:sz w:val="16"/>
              </w:rPr>
              <w:t xml:space="preserve">What happened  </w:t>
            </w:r>
            <w:r>
              <w:rPr>
                <w:b w:val="0"/>
                <w:i w:val="0"/>
                <w:sz w:val="16"/>
              </w:rPr>
              <w:t>Fell 0.4% over 15–21 Sep; its biggest day was Mon 21 Sep (-1.3%). Today -1.3%.</w:t>
            </w:r>
          </w:p>
          <w:p>
            <w:pPr>
              <w:spacing w:after="10" w:line="240" w:lineRule="auto"/>
            </w:pPr>
            <w:r>
              <w:rPr>
                <w:b/>
                <w:i w:val="0"/>
                <w:color w:val="1A2E55"/>
                <w:sz w:val="16"/>
              </w:rPr>
              <w:t xml:space="preserve">Today: news vs price  </w:t>
            </w:r>
            <w:r>
              <w:rPr>
                <w:b w:val="0"/>
                <w:i w:val="0"/>
                <w:sz w:val="16"/>
              </w:rPr>
              <w:t>Positive reading, but the price fell 1.3%: the price went against the news. The forecast model has no clear view. (Pattern: Noise.)</w:t>
            </w:r>
          </w:p>
          <w:p>
            <w:pPr>
              <w:spacing w:after="10" w:line="240" w:lineRule="auto"/>
            </w:pPr>
            <w:r>
              <w:rPr>
                <w:b/>
                <w:i w:val="0"/>
                <w:color w:val="1A2E55"/>
                <w:sz w:val="16"/>
              </w:rPr>
              <w:t xml:space="preserve">Last 5 days in context  </w:t>
            </w:r>
            <w:r>
              <w:rPr>
                <w:b w:val="0"/>
                <w:i w:val="0"/>
                <w:sz w:val="16"/>
              </w:rPr>
              <w:t>Company news collected today was mostly neutral; the price fell 0.4% over 15–21 Sep, its 3 sector peers -0.4% on average, and the 15 stocks -1.2% on average. So it barely moved over the period.</w:t>
            </w:r>
          </w:p>
          <w:p>
            <w:pPr>
              <w:spacing w:after="10" w:line="240" w:lineRule="auto"/>
            </w:pPr>
            <w:r>
              <w:rPr>
                <w:b/>
                <w:i w:val="0"/>
                <w:color w:val="1A2E55"/>
                <w:sz w:val="16"/>
              </w:rPr>
              <w:t xml:space="preserve">News today  </w:t>
            </w:r>
            <w:r>
              <w:rPr>
                <w:b w:val="0"/>
                <w:i w:val="0"/>
                <w:sz w:val="16"/>
              </w:rPr>
              <w:t>19 articles collected today: 1 positive, 0 negative, 18 neutral (mostly neutral). Event tags: merger or acquisition.</w:t>
            </w:r>
          </w:p>
          <w:p>
            <w:pPr>
              <w:spacing w:after="10" w:line="240" w:lineRule="auto"/>
            </w:pPr>
            <w:r>
              <w:rPr>
                <w:b/>
                <w:i w:val="0"/>
                <w:color w:val="1A2E55"/>
                <w:sz w:val="16"/>
              </w:rPr>
              <w:t xml:space="preserve">Price chart  </w:t>
            </w:r>
            <w:r>
              <w:rPr>
                <w:b w:val="0"/>
                <w:i w:val="0"/>
                <w:sz w:val="16"/>
              </w:rPr>
              <w:t>RSI 30, below 30: the price fell fast ('oversold'); weekly trend down.</w:t>
            </w:r>
          </w:p>
          <w:p>
            <w:pPr>
              <w:spacing w:after="10" w:line="240" w:lineRule="auto"/>
            </w:pPr>
            <w:r>
              <w:rPr>
                <w:b/>
                <w:i w:val="0"/>
                <w:color w:val="1A2E55"/>
                <w:sz w:val="16"/>
              </w:rPr>
              <w:t xml:space="preserve">News &amp; signals reading  </w:t>
            </w:r>
            <w:r>
              <w:rPr>
                <w:b w:val="0"/>
                <w:i w:val="0"/>
                <w:sz w:val="16"/>
              </w:rPr>
              <w:t>Positive today (score +0.35; positive above +0.35, negative below −0.35), but on none of the 3 earlier recorded days. Without the 'oversold' signal it would be neutral. Borderline: without the two political-news rules (unreliable, section 5) the score would be +0.34, inside the neutral band.</w:t>
            </w:r>
          </w:p>
          <w:p>
            <w:pPr>
              <w:spacing w:after="10" w:line="240" w:lineRule="auto"/>
            </w:pPr>
            <w:r>
              <w:rPr>
                <w:b/>
                <w:i w:val="0"/>
                <w:color w:val="1A2E55"/>
                <w:sz w:val="16"/>
              </w:rPr>
              <w:t xml:space="preserve">Rules behind the reading  </w:t>
            </w:r>
            <w:r>
              <w:rPr>
                <w:b w:val="0"/>
                <w:i w:val="0"/>
                <w:sz w:val="16"/>
              </w:rPr>
              <w:t>Up: RSI oversold +0.38. Down: weekly trend down −0.15. Market-wide: calm market +0.21, ETF options negative −0.10, political news +0.01 (unreliable, section 5).</w:t>
            </w:r>
          </w:p>
          <w:p>
            <w:pPr>
              <w:spacing w:after="10" w:line="240" w:lineRule="auto"/>
            </w:pPr>
            <w:r>
              <w:rPr>
                <w:b/>
                <w:i w:val="0"/>
                <w:color w:val="1A2E55"/>
                <w:sz w:val="16"/>
              </w:rPr>
              <w:t xml:space="preserve">AI summary of the evidence (checked)  </w:t>
            </w:r>
            <w:r>
              <w:rPr>
                <w:b w:val="0"/>
                <w:i w:val="0"/>
                <w:sz w:val="16"/>
              </w:rPr>
              <w:t>Ascendas REIT remains positive on the back of an oversold RSI, a positive geopolitical backdrop, and a risk‑on macro regime, all of which are reinforced by ML-model contributions. Positive corporate events, notably the unit issuance for a 50% ascent purchase, further strengthen the outlook. However, elevated political news volume, a negative weekly timeframe, and negative options market positioning introduce downside concerns.</w:t>
            </w:r>
          </w:p>
          <w:p>
            <w:pPr>
              <w:spacing w:after="10" w:line="240" w:lineRule="auto"/>
            </w:pPr>
            <w:r>
              <w:rPr>
                <w:b/>
                <w:i w:val="0"/>
                <w:color w:val="1A2E55"/>
                <w:sz w:val="16"/>
              </w:rPr>
              <w:t xml:space="preserve">Forecast lean  </w:t>
            </w:r>
            <w:r>
              <w:rPr>
                <w:b w:val="0"/>
                <w:i w:val="0"/>
                <w:sz w:val="16"/>
              </w:rPr>
              <w:t>No big move over the next 3 trading days (chance 47%); its normal 3-day swing is ±1.2%. Past record on this stock: about as good as a simple rule or better (✓), still only a weak signal.</w:t>
            </w:r>
          </w:p>
        </w:tc>
      </w:tr>
    </w:tbl>
    <w:p>
      <w:pPr>
        <w:keepNext/>
        <w:pageBreakBefore/>
        <w:spacing w:before="0" w:after="40"/>
        <w:pBdr>
          <w:bottom w:val="single" w:sz="6" w:space="2" w:color="CDE2FB"/>
        </w:pBdr>
      </w:pPr>
      <w:r>
        <w:rPr>
          <w:b/>
          <w:i w:val="0"/>
          <w:color w:val="1A2E55"/>
          <w:sz w:val="26"/>
        </w:rPr>
        <w:t>3 · The next 3 trading days: how much each stock may move</w:t>
      </w:r>
    </w:p>
    <w:p>
      <w:pPr>
        <w:keepNext/>
      </w:pPr>
      <w:r>
        <w:rPr>
          <w:b w:val="0"/>
          <w:i w:val="0"/>
          <w:color w:val="52514E"/>
          <w:sz w:val="17"/>
        </w:rPr>
        <w:t>The normal swing and the calmer stocks have held up in testing. The up-or-down lean has not: even with ✓, a rise-or-fall call is no better than a guess.</w:t>
      </w:r>
    </w:p>
    <w:tbl>
      <w:tblPr>
        <w:tblW w:type="auto" w:w="0"/>
        <w:tblLook w:firstColumn="1" w:firstRow="1" w:lastColumn="0" w:lastRow="0" w:noHBand="0" w:noVBand="1" w:val="04A0"/>
        <w:tblBorders>
          <w:top w:val="single" w:sz="4" w:color="D9D8D3"/>
          <w:left w:val="nil" w:sz="4" w:color="D9D8D3"/>
          <w:bottom w:val="single" w:sz="4" w:color="D9D8D3"/>
          <w:right w:val="nil" w:sz="4" w:color="D9D8D3"/>
          <w:insideH w:val="single" w:sz="4" w:color="D9D8D3"/>
          <w:insideV w:val="nil" w:sz="4" w:color="D9D8D3"/>
        </w:tblBorders>
        <w:tblLayout w:type="fixed"/>
        <w:tblCellMar>
          <w:top w:w="26" w:type="dxa"/>
          <w:bottom w:w="26" w:type="dxa"/>
          <w:left w:w="60" w:type="dxa"/>
          <w:right w:w="60" w:type="dxa"/>
        </w:tblCellMar>
      </w:tblPr>
      <w:tblGrid>
        <w:gridCol w:w="2664"/>
        <w:gridCol w:w="1368"/>
        <w:gridCol w:w="1440"/>
        <w:gridCol w:w="1440"/>
        <w:gridCol w:w="1008"/>
        <w:gridCol w:w="2016"/>
      </w:tblGrid>
      <w:tr>
        <w:tc>
          <w:tcPr>
            <w:tcW w:type="dxa" w:w="2664"/>
            <w:shd w:val="clear" w:color="auto" w:fill="1A2E55"/>
          </w:tcPr>
          <w:p>
            <w:pPr>
              <w:keepNext/>
            </w:pPr>
            <w:r>
              <w:rPr>
                <w:b/>
                <w:i w:val="0"/>
                <w:color w:val="FFFFFF"/>
                <w:sz w:val="15"/>
              </w:rPr>
              <w:t>Stock</w:t>
            </w:r>
          </w:p>
        </w:tc>
        <w:tc>
          <w:tcPr>
            <w:tcW w:type="dxa" w:w="1368"/>
            <w:shd w:val="clear" w:color="auto" w:fill="1A2E55"/>
          </w:tcPr>
          <w:p>
            <w:pPr>
              <w:keepNext/>
              <w:jc w:val="right"/>
            </w:pPr>
            <w:r>
              <w:rPr>
                <w:b/>
                <w:i w:val="0"/>
                <w:color w:val="FFFFFF"/>
                <w:sz w:val="15"/>
              </w:rPr>
              <w:t>Normal 3-day swing</w:t>
            </w:r>
          </w:p>
        </w:tc>
        <w:tc>
          <w:tcPr>
            <w:tcW w:type="dxa" w:w="1440"/>
            <w:shd w:val="clear" w:color="auto" w:fill="1A2E55"/>
          </w:tcPr>
          <w:p>
            <w:pPr>
              <w:keepNext/>
            </w:pPr>
            <w:r>
              <w:rPr>
                <w:b/>
                <w:i w:val="0"/>
                <w:color w:val="FFFFFF"/>
                <w:sz w:val="15"/>
              </w:rPr>
              <w:t>Calmer than most</w:t>
            </w:r>
          </w:p>
        </w:tc>
        <w:tc>
          <w:tcPr>
            <w:tcW w:type="dxa" w:w="1440"/>
            <w:shd w:val="clear" w:color="auto" w:fill="1A2E55"/>
          </w:tcPr>
          <w:p>
            <w:pPr>
              <w:keepNext/>
            </w:pPr>
            <w:r>
              <w:rPr>
                <w:b/>
                <w:i w:val="0"/>
                <w:color w:val="FFFFFF"/>
                <w:sz w:val="15"/>
              </w:rPr>
              <w:t>Forecast lean</w:t>
            </w:r>
          </w:p>
        </w:tc>
        <w:tc>
          <w:tcPr>
            <w:tcW w:type="dxa" w:w="1008"/>
            <w:shd w:val="clear" w:color="auto" w:fill="1A2E55"/>
          </w:tcPr>
          <w:p>
            <w:pPr>
              <w:keepNext/>
              <w:jc w:val="right"/>
            </w:pPr>
            <w:r>
              <w:rPr>
                <w:b/>
                <w:i w:val="0"/>
                <w:color w:val="FFFFFF"/>
                <w:sz w:val="15"/>
              </w:rPr>
              <w:t>Chance</w:t>
            </w:r>
          </w:p>
        </w:tc>
        <w:tc>
          <w:tcPr>
            <w:tcW w:type="dxa" w:w="2016"/>
            <w:shd w:val="clear" w:color="auto" w:fill="1A2E55"/>
          </w:tcPr>
          <w:p>
            <w:pPr>
              <w:keepNext/>
            </w:pPr>
            <w:r>
              <w:rPr>
                <w:b/>
                <w:i w:val="0"/>
                <w:color w:val="FFFFFF"/>
                <w:sz w:val="15"/>
              </w:rPr>
              <w:t>Record vs simple rule</w:t>
            </w:r>
          </w:p>
        </w:tc>
      </w:tr>
      <w:tr>
        <w:tc>
          <w:tcPr>
            <w:tcW w:type="dxa" w:w="2664"/>
          </w:tcPr>
          <w:p>
            <w:pPr>
              <w:keepNext/>
            </w:pPr>
            <w:r>
              <w:rPr>
                <w:b w:val="0"/>
                <w:i w:val="0"/>
                <w:sz w:val="16"/>
              </w:rPr>
              <w:t>Mapletree Industrial</w:t>
            </w:r>
          </w:p>
        </w:tc>
        <w:tc>
          <w:tcPr>
            <w:tcW w:type="dxa" w:w="1368"/>
          </w:tcPr>
          <w:p>
            <w:pPr>
              <w:keepNext/>
              <w:jc w:val="right"/>
            </w:pPr>
            <w:r>
              <w:rPr>
                <w:b w:val="0"/>
                <w:i w:val="0"/>
                <w:sz w:val="16"/>
              </w:rPr>
              <w:t>±1.0%</w:t>
            </w:r>
          </w:p>
        </w:tc>
        <w:tc>
          <w:tcPr>
            <w:tcW w:type="dxa" w:w="1440"/>
            <w:shd w:val="clear" w:color="auto" w:fill="DCEAFB"/>
          </w:tcPr>
          <w:p>
            <w:pPr>
              <w:keepNext/>
            </w:pPr>
            <w:r>
              <w:rPr>
                <w:b/>
                <w:i w:val="0"/>
                <w:color w:val="1C5CAB"/>
                <w:sz w:val="16"/>
              </w:rPr>
              <w:t>✓ calmer</w:t>
            </w:r>
          </w:p>
        </w:tc>
        <w:tc>
          <w:tcPr>
            <w:tcW w:type="dxa" w:w="1440"/>
          </w:tcPr>
          <w:p>
            <w:pPr>
              <w:keepNext/>
            </w:pPr>
            <w:r>
              <w:rPr>
                <w:b w:val="0"/>
                <w:i w:val="0"/>
                <w:color w:val="52514E"/>
                <w:sz w:val="16"/>
              </w:rPr>
              <w:t>No big move</w:t>
            </w:r>
          </w:p>
        </w:tc>
        <w:tc>
          <w:tcPr>
            <w:tcW w:type="dxa" w:w="1008"/>
          </w:tcPr>
          <w:p>
            <w:pPr>
              <w:keepNext/>
              <w:jc w:val="right"/>
            </w:pPr>
            <w:r>
              <w:rPr>
                <w:b w:val="0"/>
                <w:i w:val="0"/>
                <w:sz w:val="16"/>
              </w:rPr>
              <w:t>51%</w:t>
            </w:r>
          </w:p>
        </w:tc>
        <w:tc>
          <w:tcPr>
            <w:tcW w:type="dxa" w:w="2016"/>
            <w:shd w:val="clear" w:color="auto" w:fill="E4F3E4"/>
          </w:tcPr>
          <w:p>
            <w:pPr>
              <w:keepNext/>
            </w:pPr>
            <w:r>
              <w:rPr>
                <w:b/>
                <w:i w:val="0"/>
                <w:color w:val="0A6E0A"/>
                <w:sz w:val="16"/>
              </w:rPr>
              <w:t>±0 pts ✓</w:t>
            </w:r>
          </w:p>
        </w:tc>
      </w:tr>
      <w:tr>
        <w:tc>
          <w:tcPr>
            <w:tcW w:type="dxa" w:w="2664"/>
            <w:shd w:val="clear" w:color="auto" w:fill="F7F7F5"/>
          </w:tcPr>
          <w:p>
            <w:pPr>
              <w:keepNext/>
            </w:pPr>
            <w:r>
              <w:rPr>
                <w:b w:val="0"/>
                <w:i w:val="0"/>
                <w:sz w:val="16"/>
              </w:rPr>
              <w:t>Ascendas REIT</w:t>
            </w:r>
          </w:p>
        </w:tc>
        <w:tc>
          <w:tcPr>
            <w:tcW w:type="dxa" w:w="1368"/>
            <w:shd w:val="clear" w:color="auto" w:fill="F7F7F5"/>
          </w:tcPr>
          <w:p>
            <w:pPr>
              <w:keepNext/>
              <w:jc w:val="right"/>
            </w:pPr>
            <w:r>
              <w:rPr>
                <w:b w:val="0"/>
                <w:i w:val="0"/>
                <w:sz w:val="16"/>
              </w:rPr>
              <w:t>±1.2%</w:t>
            </w:r>
          </w:p>
        </w:tc>
        <w:tc>
          <w:tcPr>
            <w:tcW w:type="dxa" w:w="1440"/>
            <w:shd w:val="clear" w:color="auto" w:fill="F7F7F5"/>
          </w:tcPr>
          <w:p>
            <w:pPr>
              <w:keepNext/>
            </w:pPr>
            <w:r>
              <w:rPr>
                <w:b w:val="0"/>
                <w:i w:val="0"/>
                <w:sz w:val="16"/>
              </w:rPr>
            </w:r>
          </w:p>
        </w:tc>
        <w:tc>
          <w:tcPr>
            <w:tcW w:type="dxa" w:w="1440"/>
            <w:shd w:val="clear" w:color="auto" w:fill="F7F7F5"/>
          </w:tcPr>
          <w:p>
            <w:pPr>
              <w:keepNext/>
            </w:pPr>
            <w:r>
              <w:rPr>
                <w:b w:val="0"/>
                <w:i w:val="0"/>
                <w:color w:val="52514E"/>
                <w:sz w:val="16"/>
              </w:rPr>
              <w:t>No big move</w:t>
            </w:r>
          </w:p>
        </w:tc>
        <w:tc>
          <w:tcPr>
            <w:tcW w:type="dxa" w:w="1008"/>
            <w:shd w:val="clear" w:color="auto" w:fill="F7F7F5"/>
          </w:tcPr>
          <w:p>
            <w:pPr>
              <w:keepNext/>
              <w:jc w:val="right"/>
            </w:pPr>
            <w:r>
              <w:rPr>
                <w:b w:val="0"/>
                <w:i w:val="0"/>
                <w:sz w:val="16"/>
              </w:rPr>
              <w:t>47%</w:t>
            </w:r>
          </w:p>
        </w:tc>
        <w:tc>
          <w:tcPr>
            <w:tcW w:type="dxa" w:w="2016"/>
            <w:shd w:val="clear" w:color="auto" w:fill="E4F3E4"/>
          </w:tcPr>
          <w:p>
            <w:pPr>
              <w:keepNext/>
            </w:pPr>
            <w:r>
              <w:rPr>
                <w:b/>
                <w:i w:val="0"/>
                <w:color w:val="0A6E0A"/>
                <w:sz w:val="16"/>
              </w:rPr>
              <w:t>±0 pts ✓</w:t>
            </w:r>
          </w:p>
        </w:tc>
      </w:tr>
      <w:tr>
        <w:tc>
          <w:tcPr>
            <w:tcW w:type="dxa" w:w="2664"/>
          </w:tcPr>
          <w:p>
            <w:pPr>
              <w:keepNext/>
            </w:pPr>
            <w:r>
              <w:rPr>
                <w:b w:val="0"/>
                <w:i w:val="0"/>
                <w:sz w:val="16"/>
              </w:rPr>
              <w:t>CapitaLand Integ. Comm. Trust</w:t>
            </w:r>
          </w:p>
        </w:tc>
        <w:tc>
          <w:tcPr>
            <w:tcW w:type="dxa" w:w="1368"/>
          </w:tcPr>
          <w:p>
            <w:pPr>
              <w:keepNext/>
              <w:jc w:val="right"/>
            </w:pPr>
            <w:r>
              <w:rPr>
                <w:b w:val="0"/>
                <w:i w:val="0"/>
                <w:sz w:val="16"/>
              </w:rPr>
              <w:t>±1.2%</w:t>
            </w:r>
          </w:p>
        </w:tc>
        <w:tc>
          <w:tcPr>
            <w:tcW w:type="dxa" w:w="1440"/>
          </w:tcPr>
          <w:p>
            <w:pPr>
              <w:keepNext/>
            </w:pPr>
            <w:r>
              <w:rPr>
                <w:b w:val="0"/>
                <w:i w:val="0"/>
                <w:sz w:val="16"/>
              </w:rPr>
            </w:r>
          </w:p>
        </w:tc>
        <w:tc>
          <w:tcPr>
            <w:tcW w:type="dxa" w:w="1440"/>
          </w:tcPr>
          <w:p>
            <w:pPr>
              <w:keepNext/>
            </w:pPr>
            <w:r>
              <w:rPr>
                <w:b w:val="0"/>
                <w:i w:val="0"/>
                <w:color w:val="52514E"/>
                <w:sz w:val="16"/>
              </w:rPr>
              <w:t>No big move</w:t>
            </w:r>
          </w:p>
        </w:tc>
        <w:tc>
          <w:tcPr>
            <w:tcW w:type="dxa" w:w="1008"/>
          </w:tcPr>
          <w:p>
            <w:pPr>
              <w:keepNext/>
              <w:jc w:val="right"/>
            </w:pPr>
            <w:r>
              <w:rPr>
                <w:b w:val="0"/>
                <w:i w:val="0"/>
                <w:sz w:val="16"/>
              </w:rPr>
              <w:t>49%</w:t>
            </w:r>
          </w:p>
        </w:tc>
        <w:tc>
          <w:tcPr>
            <w:tcW w:type="dxa" w:w="2016"/>
            <w:shd w:val="clear" w:color="auto" w:fill="FBE1E0"/>
          </w:tcPr>
          <w:p>
            <w:pPr>
              <w:keepNext/>
            </w:pPr>
            <w:r>
              <w:rPr>
                <w:b/>
                <w:i w:val="0"/>
                <w:color w:val="A12D2C"/>
                <w:sz w:val="16"/>
              </w:rPr>
              <w:t>−20 pts ✗</w:t>
            </w:r>
          </w:p>
        </w:tc>
      </w:tr>
      <w:tr>
        <w:tc>
          <w:tcPr>
            <w:tcW w:type="dxa" w:w="2664"/>
            <w:shd w:val="clear" w:color="auto" w:fill="F7F7F5"/>
          </w:tcPr>
          <w:p>
            <w:pPr>
              <w:keepNext/>
            </w:pPr>
            <w:r>
              <w:rPr>
                <w:b w:val="0"/>
                <w:i w:val="0"/>
                <w:sz w:val="16"/>
              </w:rPr>
              <w:t>Raffles Medical Group</w:t>
            </w:r>
          </w:p>
        </w:tc>
        <w:tc>
          <w:tcPr>
            <w:tcW w:type="dxa" w:w="1368"/>
            <w:shd w:val="clear" w:color="auto" w:fill="F7F7F5"/>
          </w:tcPr>
          <w:p>
            <w:pPr>
              <w:keepNext/>
              <w:jc w:val="right"/>
            </w:pPr>
            <w:r>
              <w:rPr>
                <w:b w:val="0"/>
                <w:i w:val="0"/>
                <w:sz w:val="16"/>
              </w:rPr>
              <w:t>±1.2%</w:t>
            </w:r>
          </w:p>
        </w:tc>
        <w:tc>
          <w:tcPr>
            <w:tcW w:type="dxa" w:w="1440"/>
            <w:shd w:val="clear" w:color="auto" w:fill="DCEAFB"/>
          </w:tcPr>
          <w:p>
            <w:pPr>
              <w:keepNext/>
            </w:pPr>
            <w:r>
              <w:rPr>
                <w:b/>
                <w:i w:val="0"/>
                <w:color w:val="1C5CAB"/>
                <w:sz w:val="16"/>
              </w:rPr>
              <w:t>✓ calmer</w:t>
            </w:r>
          </w:p>
        </w:tc>
        <w:tc>
          <w:tcPr>
            <w:tcW w:type="dxa" w:w="1440"/>
            <w:shd w:val="clear" w:color="auto" w:fill="F7F7F5"/>
          </w:tcPr>
          <w:p>
            <w:pPr>
              <w:keepNext/>
            </w:pPr>
            <w:r>
              <w:rPr>
                <w:b w:val="0"/>
                <w:i w:val="0"/>
                <w:color w:val="52514E"/>
                <w:sz w:val="16"/>
              </w:rPr>
              <w:t>No big move</w:t>
            </w:r>
          </w:p>
        </w:tc>
        <w:tc>
          <w:tcPr>
            <w:tcW w:type="dxa" w:w="1008"/>
            <w:shd w:val="clear" w:color="auto" w:fill="F7F7F5"/>
          </w:tcPr>
          <w:p>
            <w:pPr>
              <w:keepNext/>
              <w:jc w:val="right"/>
            </w:pPr>
            <w:r>
              <w:rPr>
                <w:b w:val="0"/>
                <w:i w:val="0"/>
                <w:sz w:val="16"/>
              </w:rPr>
              <w:t>55%</w:t>
            </w:r>
          </w:p>
        </w:tc>
        <w:tc>
          <w:tcPr>
            <w:tcW w:type="dxa" w:w="2016"/>
            <w:shd w:val="clear" w:color="auto" w:fill="E4F3E4"/>
          </w:tcPr>
          <w:p>
            <w:pPr>
              <w:keepNext/>
            </w:pPr>
            <w:r>
              <w:rPr>
                <w:b/>
                <w:i w:val="0"/>
                <w:color w:val="0A6E0A"/>
                <w:sz w:val="16"/>
              </w:rPr>
              <w:t>±0 pts ✓</w:t>
            </w:r>
          </w:p>
        </w:tc>
      </w:tr>
      <w:tr>
        <w:tc>
          <w:tcPr>
            <w:tcW w:type="dxa" w:w="2664"/>
          </w:tcPr>
          <w:p>
            <w:pPr>
              <w:keepNext/>
            </w:pPr>
            <w:r>
              <w:rPr>
                <w:b w:val="0"/>
                <w:i w:val="0"/>
                <w:sz w:val="16"/>
              </w:rPr>
              <w:t>ComfortDelGro</w:t>
            </w:r>
          </w:p>
        </w:tc>
        <w:tc>
          <w:tcPr>
            <w:tcW w:type="dxa" w:w="1368"/>
          </w:tcPr>
          <w:p>
            <w:pPr>
              <w:keepNext/>
              <w:jc w:val="right"/>
            </w:pPr>
            <w:r>
              <w:rPr>
                <w:b w:val="0"/>
                <w:i w:val="0"/>
                <w:sz w:val="16"/>
              </w:rPr>
              <w:t>±1.3%</w:t>
            </w:r>
          </w:p>
        </w:tc>
        <w:tc>
          <w:tcPr>
            <w:tcW w:type="dxa" w:w="1440"/>
          </w:tcPr>
          <w:p>
            <w:pPr>
              <w:keepNext/>
            </w:pPr>
            <w:r>
              <w:rPr>
                <w:b w:val="0"/>
                <w:i w:val="0"/>
                <w:sz w:val="16"/>
              </w:rPr>
            </w:r>
          </w:p>
        </w:tc>
        <w:tc>
          <w:tcPr>
            <w:tcW w:type="dxa" w:w="1440"/>
          </w:tcPr>
          <w:p>
            <w:pPr>
              <w:keepNext/>
            </w:pPr>
            <w:r>
              <w:rPr>
                <w:b w:val="0"/>
                <w:i w:val="0"/>
                <w:color w:val="52514E"/>
                <w:sz w:val="16"/>
              </w:rPr>
              <w:t>No big move</w:t>
            </w:r>
          </w:p>
        </w:tc>
        <w:tc>
          <w:tcPr>
            <w:tcW w:type="dxa" w:w="1008"/>
          </w:tcPr>
          <w:p>
            <w:pPr>
              <w:keepNext/>
              <w:jc w:val="right"/>
            </w:pPr>
            <w:r>
              <w:rPr>
                <w:b w:val="0"/>
                <w:i w:val="0"/>
                <w:sz w:val="16"/>
              </w:rPr>
              <w:t>43%</w:t>
            </w:r>
          </w:p>
        </w:tc>
        <w:tc>
          <w:tcPr>
            <w:tcW w:type="dxa" w:w="2016"/>
            <w:shd w:val="clear" w:color="auto" w:fill="FBE1E0"/>
          </w:tcPr>
          <w:p>
            <w:pPr>
              <w:keepNext/>
            </w:pPr>
            <w:r>
              <w:rPr>
                <w:b/>
                <w:i w:val="0"/>
                <w:color w:val="A12D2C"/>
                <w:sz w:val="16"/>
              </w:rPr>
              <w:t>−33 pts ✗</w:t>
            </w:r>
          </w:p>
        </w:tc>
      </w:tr>
      <w:tr>
        <w:tc>
          <w:tcPr>
            <w:tcW w:type="dxa" w:w="2664"/>
            <w:shd w:val="clear" w:color="auto" w:fill="F7F7F5"/>
          </w:tcPr>
          <w:p>
            <w:pPr>
              <w:keepNext/>
            </w:pPr>
            <w:r>
              <w:rPr>
                <w:b w:val="0"/>
                <w:i w:val="0"/>
                <w:sz w:val="16"/>
              </w:rPr>
              <w:t>DBS Group</w:t>
            </w:r>
          </w:p>
        </w:tc>
        <w:tc>
          <w:tcPr>
            <w:tcW w:type="dxa" w:w="1368"/>
            <w:shd w:val="clear" w:color="auto" w:fill="F7F7F5"/>
          </w:tcPr>
          <w:p>
            <w:pPr>
              <w:keepNext/>
              <w:jc w:val="right"/>
            </w:pPr>
            <w:r>
              <w:rPr>
                <w:b w:val="0"/>
                <w:i w:val="0"/>
                <w:sz w:val="16"/>
              </w:rPr>
              <w:t>±1.3%</w:t>
            </w:r>
          </w:p>
        </w:tc>
        <w:tc>
          <w:tcPr>
            <w:tcW w:type="dxa" w:w="1440"/>
            <w:shd w:val="clear" w:color="auto" w:fill="F7F7F5"/>
          </w:tcPr>
          <w:p>
            <w:pPr>
              <w:keepNext/>
            </w:pPr>
            <w:r>
              <w:rPr>
                <w:b w:val="0"/>
                <w:i w:val="0"/>
                <w:sz w:val="16"/>
              </w:rPr>
            </w:r>
          </w:p>
        </w:tc>
        <w:tc>
          <w:tcPr>
            <w:tcW w:type="dxa" w:w="1440"/>
            <w:shd w:val="clear" w:color="auto" w:fill="F7F7F5"/>
          </w:tcPr>
          <w:p>
            <w:pPr>
              <w:keepNext/>
            </w:pPr>
            <w:r>
              <w:rPr>
                <w:b w:val="0"/>
                <w:i w:val="0"/>
                <w:color w:val="52514E"/>
                <w:sz w:val="16"/>
              </w:rPr>
              <w:t>No big move</w:t>
            </w:r>
          </w:p>
        </w:tc>
        <w:tc>
          <w:tcPr>
            <w:tcW w:type="dxa" w:w="1008"/>
            <w:shd w:val="clear" w:color="auto" w:fill="F7F7F5"/>
          </w:tcPr>
          <w:p>
            <w:pPr>
              <w:keepNext/>
              <w:jc w:val="right"/>
            </w:pPr>
            <w:r>
              <w:rPr>
                <w:b w:val="0"/>
                <w:i w:val="0"/>
                <w:sz w:val="16"/>
              </w:rPr>
              <w:t>46%</w:t>
            </w:r>
          </w:p>
        </w:tc>
        <w:tc>
          <w:tcPr>
            <w:tcW w:type="dxa" w:w="2016"/>
            <w:shd w:val="clear" w:color="auto" w:fill="FBE1E0"/>
          </w:tcPr>
          <w:p>
            <w:pPr>
              <w:keepNext/>
            </w:pPr>
            <w:r>
              <w:rPr>
                <w:b/>
                <w:i w:val="0"/>
                <w:color w:val="A12D2C"/>
                <w:sz w:val="16"/>
              </w:rPr>
              <w:t>−40 pts ✗</w:t>
            </w:r>
          </w:p>
        </w:tc>
      </w:tr>
      <w:tr>
        <w:tc>
          <w:tcPr>
            <w:tcW w:type="dxa" w:w="2664"/>
          </w:tcPr>
          <w:p>
            <w:pPr>
              <w:keepNext/>
            </w:pPr>
            <w:r>
              <w:rPr>
                <w:b w:val="0"/>
                <w:i w:val="0"/>
                <w:sz w:val="16"/>
              </w:rPr>
              <w:t>Mapletree Pan Asia Comm. Trust</w:t>
            </w:r>
          </w:p>
        </w:tc>
        <w:tc>
          <w:tcPr>
            <w:tcW w:type="dxa" w:w="1368"/>
          </w:tcPr>
          <w:p>
            <w:pPr>
              <w:keepNext/>
              <w:jc w:val="right"/>
            </w:pPr>
            <w:r>
              <w:rPr>
                <w:b w:val="0"/>
                <w:i w:val="0"/>
                <w:sz w:val="16"/>
              </w:rPr>
              <w:t>±1.5%</w:t>
            </w:r>
          </w:p>
        </w:tc>
        <w:tc>
          <w:tcPr>
            <w:tcW w:type="dxa" w:w="1440"/>
            <w:shd w:val="clear" w:color="auto" w:fill="DCEAFB"/>
          </w:tcPr>
          <w:p>
            <w:pPr>
              <w:keepNext/>
            </w:pPr>
            <w:r>
              <w:rPr>
                <w:b/>
                <w:i w:val="0"/>
                <w:color w:val="1C5CAB"/>
                <w:sz w:val="16"/>
              </w:rPr>
              <w:t>✓ calmer</w:t>
            </w:r>
          </w:p>
        </w:tc>
        <w:tc>
          <w:tcPr>
            <w:tcW w:type="dxa" w:w="1440"/>
          </w:tcPr>
          <w:p>
            <w:pPr>
              <w:keepNext/>
            </w:pPr>
            <w:r>
              <w:rPr>
                <w:b w:val="0"/>
                <w:i w:val="0"/>
                <w:color w:val="52514E"/>
                <w:sz w:val="16"/>
              </w:rPr>
              <w:t>No big move</w:t>
            </w:r>
          </w:p>
        </w:tc>
        <w:tc>
          <w:tcPr>
            <w:tcW w:type="dxa" w:w="1008"/>
          </w:tcPr>
          <w:p>
            <w:pPr>
              <w:keepNext/>
              <w:jc w:val="right"/>
            </w:pPr>
            <w:r>
              <w:rPr>
                <w:b w:val="0"/>
                <w:i w:val="0"/>
                <w:sz w:val="16"/>
              </w:rPr>
              <w:t>53%</w:t>
            </w:r>
          </w:p>
        </w:tc>
        <w:tc>
          <w:tcPr>
            <w:tcW w:type="dxa" w:w="2016"/>
            <w:shd w:val="clear" w:color="auto" w:fill="FBE1E0"/>
          </w:tcPr>
          <w:p>
            <w:pPr>
              <w:keepNext/>
            </w:pPr>
            <w:r>
              <w:rPr>
                <w:b/>
                <w:i w:val="0"/>
                <w:color w:val="A12D2C"/>
                <w:sz w:val="16"/>
              </w:rPr>
              <w:t>−13 pts ✗</w:t>
            </w:r>
          </w:p>
        </w:tc>
      </w:tr>
      <w:tr>
        <w:tc>
          <w:tcPr>
            <w:tcW w:type="dxa" w:w="2664"/>
            <w:shd w:val="clear" w:color="auto" w:fill="F7F7F5"/>
          </w:tcPr>
          <w:p>
            <w:pPr>
              <w:keepNext/>
            </w:pPr>
            <w:r>
              <w:rPr>
                <w:b w:val="0"/>
                <w:i w:val="0"/>
                <w:sz w:val="16"/>
              </w:rPr>
              <w:t>Singtel</w:t>
            </w:r>
          </w:p>
        </w:tc>
        <w:tc>
          <w:tcPr>
            <w:tcW w:type="dxa" w:w="1368"/>
            <w:shd w:val="clear" w:color="auto" w:fill="F7F7F5"/>
          </w:tcPr>
          <w:p>
            <w:pPr>
              <w:keepNext/>
              <w:jc w:val="right"/>
            </w:pPr>
            <w:r>
              <w:rPr>
                <w:b w:val="0"/>
                <w:i w:val="0"/>
                <w:sz w:val="16"/>
              </w:rPr>
              <w:t>±1.6%</w:t>
            </w:r>
          </w:p>
        </w:tc>
        <w:tc>
          <w:tcPr>
            <w:tcW w:type="dxa" w:w="1440"/>
            <w:shd w:val="clear" w:color="auto" w:fill="F7F7F5"/>
          </w:tcPr>
          <w:p>
            <w:pPr>
              <w:keepNext/>
            </w:pPr>
            <w:r>
              <w:rPr>
                <w:b w:val="0"/>
                <w:i w:val="0"/>
                <w:sz w:val="16"/>
              </w:rPr>
            </w:r>
          </w:p>
        </w:tc>
        <w:tc>
          <w:tcPr>
            <w:tcW w:type="dxa" w:w="1440"/>
            <w:shd w:val="clear" w:color="auto" w:fill="F7F7F5"/>
          </w:tcPr>
          <w:p>
            <w:pPr>
              <w:keepNext/>
            </w:pPr>
            <w:r>
              <w:rPr>
                <w:b w:val="0"/>
                <w:i w:val="0"/>
                <w:color w:val="52514E"/>
                <w:sz w:val="16"/>
              </w:rPr>
              <w:t>No big move</w:t>
            </w:r>
          </w:p>
        </w:tc>
        <w:tc>
          <w:tcPr>
            <w:tcW w:type="dxa" w:w="1008"/>
            <w:shd w:val="clear" w:color="auto" w:fill="F7F7F5"/>
          </w:tcPr>
          <w:p>
            <w:pPr>
              <w:keepNext/>
              <w:jc w:val="right"/>
            </w:pPr>
            <w:r>
              <w:rPr>
                <w:b w:val="0"/>
                <w:i w:val="0"/>
                <w:sz w:val="16"/>
              </w:rPr>
              <w:t>43%</w:t>
            </w:r>
          </w:p>
        </w:tc>
        <w:tc>
          <w:tcPr>
            <w:tcW w:type="dxa" w:w="2016"/>
            <w:shd w:val="clear" w:color="auto" w:fill="E4F3E4"/>
          </w:tcPr>
          <w:p>
            <w:pPr>
              <w:keepNext/>
            </w:pPr>
            <w:r>
              <w:rPr>
                <w:b/>
                <w:i w:val="0"/>
                <w:color w:val="0A6E0A"/>
                <w:sz w:val="16"/>
              </w:rPr>
              <w:t>+13 pts ✓</w:t>
            </w:r>
          </w:p>
        </w:tc>
      </w:tr>
      <w:tr>
        <w:tc>
          <w:tcPr>
            <w:tcW w:type="dxa" w:w="2664"/>
          </w:tcPr>
          <w:p>
            <w:pPr>
              <w:keepNext/>
            </w:pPr>
            <w:r>
              <w:rPr>
                <w:b w:val="0"/>
                <w:i w:val="0"/>
                <w:sz w:val="16"/>
              </w:rPr>
              <w:t>Wilmar Intl</w:t>
            </w:r>
          </w:p>
        </w:tc>
        <w:tc>
          <w:tcPr>
            <w:tcW w:type="dxa" w:w="1368"/>
          </w:tcPr>
          <w:p>
            <w:pPr>
              <w:keepNext/>
              <w:jc w:val="right"/>
            </w:pPr>
            <w:r>
              <w:rPr>
                <w:b w:val="0"/>
                <w:i w:val="0"/>
                <w:sz w:val="16"/>
              </w:rPr>
              <w:t>±1.7%</w:t>
            </w:r>
          </w:p>
        </w:tc>
        <w:tc>
          <w:tcPr>
            <w:tcW w:type="dxa" w:w="1440"/>
          </w:tcPr>
          <w:p>
            <w:pPr>
              <w:keepNext/>
            </w:pPr>
            <w:r>
              <w:rPr>
                <w:b w:val="0"/>
                <w:i w:val="0"/>
                <w:sz w:val="16"/>
              </w:rPr>
            </w:r>
          </w:p>
        </w:tc>
        <w:tc>
          <w:tcPr>
            <w:tcW w:type="dxa" w:w="1440"/>
          </w:tcPr>
          <w:p>
            <w:pPr>
              <w:keepNext/>
            </w:pPr>
            <w:r>
              <w:rPr>
                <w:b w:val="0"/>
                <w:i w:val="0"/>
                <w:color w:val="52514E"/>
                <w:sz w:val="16"/>
              </w:rPr>
              <w:t>No big move</w:t>
            </w:r>
          </w:p>
        </w:tc>
        <w:tc>
          <w:tcPr>
            <w:tcW w:type="dxa" w:w="1008"/>
          </w:tcPr>
          <w:p>
            <w:pPr>
              <w:keepNext/>
              <w:jc w:val="right"/>
            </w:pPr>
            <w:r>
              <w:rPr>
                <w:b w:val="0"/>
                <w:i w:val="0"/>
                <w:sz w:val="16"/>
              </w:rPr>
              <w:t>47%</w:t>
            </w:r>
          </w:p>
        </w:tc>
        <w:tc>
          <w:tcPr>
            <w:tcW w:type="dxa" w:w="2016"/>
            <w:shd w:val="clear" w:color="auto" w:fill="E4F3E4"/>
          </w:tcPr>
          <w:p>
            <w:pPr>
              <w:keepNext/>
            </w:pPr>
            <w:r>
              <w:rPr>
                <w:b/>
                <w:i w:val="0"/>
                <w:color w:val="0A6E0A"/>
                <w:sz w:val="16"/>
              </w:rPr>
              <w:t>+7 pts ✓</w:t>
            </w:r>
          </w:p>
        </w:tc>
      </w:tr>
      <w:tr>
        <w:tc>
          <w:tcPr>
            <w:tcW w:type="dxa" w:w="2664"/>
            <w:shd w:val="clear" w:color="auto" w:fill="F7F7F5"/>
          </w:tcPr>
          <w:p>
            <w:pPr>
              <w:keepNext/>
            </w:pPr>
            <w:r>
              <w:rPr>
                <w:b w:val="0"/>
                <w:i w:val="0"/>
                <w:sz w:val="16"/>
              </w:rPr>
              <w:t>ST Engineering</w:t>
            </w:r>
          </w:p>
        </w:tc>
        <w:tc>
          <w:tcPr>
            <w:tcW w:type="dxa" w:w="1368"/>
            <w:shd w:val="clear" w:color="auto" w:fill="F7F7F5"/>
          </w:tcPr>
          <w:p>
            <w:pPr>
              <w:keepNext/>
              <w:jc w:val="right"/>
            </w:pPr>
            <w:r>
              <w:rPr>
                <w:b w:val="0"/>
                <w:i w:val="0"/>
                <w:sz w:val="16"/>
              </w:rPr>
              <w:t>±1.7%</w:t>
            </w:r>
          </w:p>
        </w:tc>
        <w:tc>
          <w:tcPr>
            <w:tcW w:type="dxa" w:w="1440"/>
            <w:shd w:val="clear" w:color="auto" w:fill="F7F7F5"/>
          </w:tcPr>
          <w:p>
            <w:pPr>
              <w:keepNext/>
            </w:pPr>
            <w:r>
              <w:rPr>
                <w:b w:val="0"/>
                <w:i w:val="0"/>
                <w:sz w:val="16"/>
              </w:rPr>
            </w:r>
          </w:p>
        </w:tc>
        <w:tc>
          <w:tcPr>
            <w:tcW w:type="dxa" w:w="1440"/>
            <w:shd w:val="clear" w:color="auto" w:fill="F7F7F5"/>
          </w:tcPr>
          <w:p>
            <w:pPr>
              <w:keepNext/>
            </w:pPr>
            <w:r>
              <w:rPr>
                <w:b w:val="0"/>
                <w:i w:val="0"/>
                <w:color w:val="52514E"/>
                <w:sz w:val="16"/>
              </w:rPr>
              <w:t>No big move</w:t>
            </w:r>
          </w:p>
        </w:tc>
        <w:tc>
          <w:tcPr>
            <w:tcW w:type="dxa" w:w="1008"/>
            <w:shd w:val="clear" w:color="auto" w:fill="F7F7F5"/>
          </w:tcPr>
          <w:p>
            <w:pPr>
              <w:keepNext/>
              <w:jc w:val="right"/>
            </w:pPr>
            <w:r>
              <w:rPr>
                <w:b w:val="0"/>
                <w:i w:val="0"/>
                <w:sz w:val="16"/>
              </w:rPr>
              <w:t>49%</w:t>
            </w:r>
          </w:p>
        </w:tc>
        <w:tc>
          <w:tcPr>
            <w:tcW w:type="dxa" w:w="2016"/>
            <w:shd w:val="clear" w:color="auto" w:fill="E4F3E4"/>
          </w:tcPr>
          <w:p>
            <w:pPr>
              <w:keepNext/>
            </w:pPr>
            <w:r>
              <w:rPr>
                <w:b/>
                <w:i w:val="0"/>
                <w:color w:val="0A6E0A"/>
                <w:sz w:val="16"/>
              </w:rPr>
              <w:t>±0 pts ✓</w:t>
            </w:r>
          </w:p>
        </w:tc>
      </w:tr>
      <w:tr>
        <w:tc>
          <w:tcPr>
            <w:tcW w:type="dxa" w:w="2664"/>
          </w:tcPr>
          <w:p>
            <w:pPr>
              <w:keepNext/>
            </w:pPr>
            <w:r>
              <w:rPr>
                <w:b w:val="0"/>
                <w:i w:val="0"/>
                <w:sz w:val="16"/>
              </w:rPr>
              <w:t>Keppel Corp</w:t>
            </w:r>
          </w:p>
        </w:tc>
        <w:tc>
          <w:tcPr>
            <w:tcW w:type="dxa" w:w="1368"/>
          </w:tcPr>
          <w:p>
            <w:pPr>
              <w:keepNext/>
              <w:jc w:val="right"/>
            </w:pPr>
            <w:r>
              <w:rPr>
                <w:b w:val="0"/>
                <w:i w:val="0"/>
                <w:sz w:val="16"/>
              </w:rPr>
              <w:t>±1.8%</w:t>
            </w:r>
          </w:p>
        </w:tc>
        <w:tc>
          <w:tcPr>
            <w:tcW w:type="dxa" w:w="1440"/>
            <w:shd w:val="clear" w:color="auto" w:fill="DCEAFB"/>
          </w:tcPr>
          <w:p>
            <w:pPr>
              <w:keepNext/>
            </w:pPr>
            <w:r>
              <w:rPr>
                <w:b/>
                <w:i w:val="0"/>
                <w:color w:val="1C5CAB"/>
                <w:sz w:val="16"/>
              </w:rPr>
              <w:t>✓ calmer</w:t>
            </w:r>
          </w:p>
        </w:tc>
        <w:tc>
          <w:tcPr>
            <w:tcW w:type="dxa" w:w="1440"/>
          </w:tcPr>
          <w:p>
            <w:pPr>
              <w:keepNext/>
            </w:pPr>
            <w:r>
              <w:rPr>
                <w:b w:val="0"/>
                <w:i w:val="0"/>
                <w:color w:val="52514E"/>
                <w:sz w:val="16"/>
              </w:rPr>
              <w:t>No big move</w:t>
            </w:r>
          </w:p>
        </w:tc>
        <w:tc>
          <w:tcPr>
            <w:tcW w:type="dxa" w:w="1008"/>
          </w:tcPr>
          <w:p>
            <w:pPr>
              <w:keepNext/>
              <w:jc w:val="right"/>
            </w:pPr>
            <w:r>
              <w:rPr>
                <w:b w:val="0"/>
                <w:i w:val="0"/>
                <w:sz w:val="16"/>
              </w:rPr>
              <w:t>51%</w:t>
            </w:r>
          </w:p>
        </w:tc>
        <w:tc>
          <w:tcPr>
            <w:tcW w:type="dxa" w:w="2016"/>
            <w:shd w:val="clear" w:color="auto" w:fill="FBE1E0"/>
          </w:tcPr>
          <w:p>
            <w:pPr>
              <w:keepNext/>
            </w:pPr>
            <w:r>
              <w:rPr>
                <w:b/>
                <w:i w:val="0"/>
                <w:color w:val="A12D2C"/>
                <w:sz w:val="16"/>
              </w:rPr>
              <w:t>−7 pts ✗</w:t>
            </w:r>
          </w:p>
        </w:tc>
      </w:tr>
      <w:tr>
        <w:tc>
          <w:tcPr>
            <w:tcW w:type="dxa" w:w="2664"/>
            <w:shd w:val="clear" w:color="auto" w:fill="F7F7F5"/>
          </w:tcPr>
          <w:p>
            <w:pPr>
              <w:keepNext/>
            </w:pPr>
            <w:r>
              <w:rPr>
                <w:b w:val="0"/>
                <w:i w:val="0"/>
                <w:sz w:val="16"/>
              </w:rPr>
              <w:t>Sembcorp Industries</w:t>
            </w:r>
          </w:p>
        </w:tc>
        <w:tc>
          <w:tcPr>
            <w:tcW w:type="dxa" w:w="1368"/>
            <w:shd w:val="clear" w:color="auto" w:fill="F7F7F5"/>
          </w:tcPr>
          <w:p>
            <w:pPr>
              <w:keepNext/>
              <w:jc w:val="right"/>
            </w:pPr>
            <w:r>
              <w:rPr>
                <w:b w:val="0"/>
                <w:i w:val="0"/>
                <w:sz w:val="16"/>
              </w:rPr>
              <w:t>±1.9%</w:t>
            </w:r>
          </w:p>
        </w:tc>
        <w:tc>
          <w:tcPr>
            <w:tcW w:type="dxa" w:w="1440"/>
            <w:shd w:val="clear" w:color="auto" w:fill="DCEAFB"/>
          </w:tcPr>
          <w:p>
            <w:pPr>
              <w:keepNext/>
            </w:pPr>
            <w:r>
              <w:rPr>
                <w:b/>
                <w:i w:val="0"/>
                <w:color w:val="1C5CAB"/>
                <w:sz w:val="16"/>
              </w:rPr>
              <w:t>✓ calmer</w:t>
            </w:r>
          </w:p>
        </w:tc>
        <w:tc>
          <w:tcPr>
            <w:tcW w:type="dxa" w:w="1440"/>
            <w:shd w:val="clear" w:color="auto" w:fill="F7F7F5"/>
          </w:tcPr>
          <w:p>
            <w:pPr>
              <w:keepNext/>
            </w:pPr>
            <w:r>
              <w:rPr>
                <w:b w:val="0"/>
                <w:i w:val="0"/>
                <w:color w:val="52514E"/>
                <w:sz w:val="16"/>
              </w:rPr>
              <w:t>No big move</w:t>
            </w:r>
          </w:p>
        </w:tc>
        <w:tc>
          <w:tcPr>
            <w:tcW w:type="dxa" w:w="1008"/>
            <w:shd w:val="clear" w:color="auto" w:fill="F7F7F5"/>
          </w:tcPr>
          <w:p>
            <w:pPr>
              <w:keepNext/>
              <w:jc w:val="right"/>
            </w:pPr>
            <w:r>
              <w:rPr>
                <w:b w:val="0"/>
                <w:i w:val="0"/>
                <w:sz w:val="16"/>
              </w:rPr>
              <w:t>54%</w:t>
            </w:r>
          </w:p>
        </w:tc>
        <w:tc>
          <w:tcPr>
            <w:tcW w:type="dxa" w:w="2016"/>
            <w:shd w:val="clear" w:color="auto" w:fill="E4F3E4"/>
          </w:tcPr>
          <w:p>
            <w:pPr>
              <w:keepNext/>
            </w:pPr>
            <w:r>
              <w:rPr>
                <w:b/>
                <w:i w:val="0"/>
                <w:color w:val="0A6E0A"/>
                <w:sz w:val="16"/>
              </w:rPr>
              <w:t>+13 pts ✓</w:t>
            </w:r>
          </w:p>
        </w:tc>
      </w:tr>
      <w:tr>
        <w:tc>
          <w:tcPr>
            <w:tcW w:type="dxa" w:w="2664"/>
          </w:tcPr>
          <w:p>
            <w:pPr>
              <w:keepNext/>
            </w:pPr>
            <w:r>
              <w:rPr>
                <w:b w:val="0"/>
                <w:i w:val="0"/>
                <w:sz w:val="16"/>
              </w:rPr>
              <w:t>UOB</w:t>
            </w:r>
          </w:p>
        </w:tc>
        <w:tc>
          <w:tcPr>
            <w:tcW w:type="dxa" w:w="1368"/>
          </w:tcPr>
          <w:p>
            <w:pPr>
              <w:keepNext/>
              <w:jc w:val="right"/>
            </w:pPr>
            <w:r>
              <w:rPr>
                <w:b w:val="0"/>
                <w:i w:val="0"/>
                <w:sz w:val="16"/>
              </w:rPr>
              <w:t>±1.9%</w:t>
            </w:r>
          </w:p>
        </w:tc>
        <w:tc>
          <w:tcPr>
            <w:tcW w:type="dxa" w:w="1440"/>
          </w:tcPr>
          <w:p>
            <w:pPr>
              <w:keepNext/>
            </w:pPr>
            <w:r>
              <w:rPr>
                <w:b w:val="0"/>
                <w:i w:val="0"/>
                <w:sz w:val="16"/>
              </w:rPr>
            </w:r>
          </w:p>
        </w:tc>
        <w:tc>
          <w:tcPr>
            <w:tcW w:type="dxa" w:w="1440"/>
          </w:tcPr>
          <w:p>
            <w:pPr>
              <w:keepNext/>
            </w:pPr>
            <w:r>
              <w:rPr>
                <w:b w:val="0"/>
                <w:i w:val="0"/>
                <w:color w:val="52514E"/>
                <w:sz w:val="16"/>
              </w:rPr>
              <w:t>No big move</w:t>
            </w:r>
          </w:p>
        </w:tc>
        <w:tc>
          <w:tcPr>
            <w:tcW w:type="dxa" w:w="1008"/>
          </w:tcPr>
          <w:p>
            <w:pPr>
              <w:keepNext/>
              <w:jc w:val="right"/>
            </w:pPr>
            <w:r>
              <w:rPr>
                <w:b w:val="0"/>
                <w:i w:val="0"/>
                <w:sz w:val="16"/>
              </w:rPr>
              <w:t>43%</w:t>
            </w:r>
          </w:p>
        </w:tc>
        <w:tc>
          <w:tcPr>
            <w:tcW w:type="dxa" w:w="2016"/>
            <w:shd w:val="clear" w:color="auto" w:fill="FBE1E0"/>
          </w:tcPr>
          <w:p>
            <w:pPr>
              <w:keepNext/>
            </w:pPr>
            <w:r>
              <w:rPr>
                <w:b/>
                <w:i w:val="0"/>
                <w:color w:val="A12D2C"/>
                <w:sz w:val="16"/>
              </w:rPr>
              <w:t>−13 pts ✗</w:t>
            </w:r>
          </w:p>
        </w:tc>
      </w:tr>
      <w:tr>
        <w:tc>
          <w:tcPr>
            <w:tcW w:type="dxa" w:w="2664"/>
            <w:shd w:val="clear" w:color="auto" w:fill="F7F7F5"/>
          </w:tcPr>
          <w:p>
            <w:pPr>
              <w:keepNext/>
            </w:pPr>
            <w:r>
              <w:rPr>
                <w:b w:val="0"/>
                <w:i w:val="0"/>
                <w:sz w:val="16"/>
              </w:rPr>
              <w:t>OCBC Bank</w:t>
            </w:r>
          </w:p>
        </w:tc>
        <w:tc>
          <w:tcPr>
            <w:tcW w:type="dxa" w:w="1368"/>
            <w:shd w:val="clear" w:color="auto" w:fill="F7F7F5"/>
          </w:tcPr>
          <w:p>
            <w:pPr>
              <w:keepNext/>
              <w:jc w:val="right"/>
            </w:pPr>
            <w:r>
              <w:rPr>
                <w:b w:val="0"/>
                <w:i w:val="0"/>
                <w:sz w:val="16"/>
              </w:rPr>
              <w:t>±2.0%</w:t>
            </w:r>
          </w:p>
        </w:tc>
        <w:tc>
          <w:tcPr>
            <w:tcW w:type="dxa" w:w="1440"/>
            <w:shd w:val="clear" w:color="auto" w:fill="F7F7F5"/>
          </w:tcPr>
          <w:p>
            <w:pPr>
              <w:keepNext/>
            </w:pPr>
            <w:r>
              <w:rPr>
                <w:b w:val="0"/>
                <w:i w:val="0"/>
                <w:sz w:val="16"/>
              </w:rPr>
            </w:r>
          </w:p>
        </w:tc>
        <w:tc>
          <w:tcPr>
            <w:tcW w:type="dxa" w:w="1440"/>
            <w:shd w:val="clear" w:color="auto" w:fill="F7F7F5"/>
          </w:tcPr>
          <w:p>
            <w:pPr>
              <w:keepNext/>
            </w:pPr>
            <w:r>
              <w:rPr>
                <w:b w:val="0"/>
                <w:i w:val="0"/>
                <w:color w:val="52514E"/>
                <w:sz w:val="16"/>
              </w:rPr>
              <w:t>No big move</w:t>
            </w:r>
          </w:p>
        </w:tc>
        <w:tc>
          <w:tcPr>
            <w:tcW w:type="dxa" w:w="1008"/>
            <w:shd w:val="clear" w:color="auto" w:fill="F7F7F5"/>
          </w:tcPr>
          <w:p>
            <w:pPr>
              <w:keepNext/>
              <w:jc w:val="right"/>
            </w:pPr>
            <w:r>
              <w:rPr>
                <w:b w:val="0"/>
                <w:i w:val="0"/>
                <w:sz w:val="16"/>
              </w:rPr>
              <w:t>46%</w:t>
            </w:r>
          </w:p>
        </w:tc>
        <w:tc>
          <w:tcPr>
            <w:tcW w:type="dxa" w:w="2016"/>
            <w:shd w:val="clear" w:color="auto" w:fill="FBE1E0"/>
          </w:tcPr>
          <w:p>
            <w:pPr>
              <w:keepNext/>
            </w:pPr>
            <w:r>
              <w:rPr>
                <w:b/>
                <w:i w:val="0"/>
                <w:color w:val="A12D2C"/>
                <w:sz w:val="16"/>
              </w:rPr>
              <w:t>−13 pts ✗</w:t>
            </w:r>
          </w:p>
        </w:tc>
      </w:tr>
      <w:tr>
        <w:tc>
          <w:tcPr>
            <w:tcW w:type="dxa" w:w="2664"/>
          </w:tcPr>
          <w:p>
            <w:r>
              <w:rPr>
                <w:b w:val="0"/>
                <w:i w:val="0"/>
                <w:sz w:val="16"/>
              </w:rPr>
              <w:t>SGX Group</w:t>
            </w:r>
          </w:p>
        </w:tc>
        <w:tc>
          <w:tcPr>
            <w:tcW w:type="dxa" w:w="1368"/>
          </w:tcPr>
          <w:p>
            <w:pPr>
              <w:jc w:val="right"/>
            </w:pPr>
            <w:r>
              <w:rPr>
                <w:b w:val="0"/>
                <w:i w:val="0"/>
                <w:sz w:val="16"/>
              </w:rPr>
              <w:t>±2.6%</w:t>
            </w:r>
          </w:p>
        </w:tc>
        <w:tc>
          <w:tcPr>
            <w:tcW w:type="dxa" w:w="1440"/>
          </w:tcPr>
          <w:p>
            <w:r>
              <w:rPr>
                <w:b w:val="0"/>
                <w:i w:val="0"/>
                <w:sz w:val="16"/>
              </w:rPr>
            </w:r>
          </w:p>
        </w:tc>
        <w:tc>
          <w:tcPr>
            <w:tcW w:type="dxa" w:w="1440"/>
          </w:tcPr>
          <w:p>
            <w:r>
              <w:rPr>
                <w:b w:val="0"/>
                <w:i w:val="0"/>
                <w:color w:val="52514E"/>
                <w:sz w:val="16"/>
              </w:rPr>
              <w:t>No big move</w:t>
            </w:r>
          </w:p>
        </w:tc>
        <w:tc>
          <w:tcPr>
            <w:tcW w:type="dxa" w:w="1008"/>
          </w:tcPr>
          <w:p>
            <w:pPr>
              <w:jc w:val="right"/>
            </w:pPr>
            <w:r>
              <w:rPr>
                <w:b w:val="0"/>
                <w:i w:val="0"/>
                <w:sz w:val="16"/>
              </w:rPr>
              <w:t>50%</w:t>
            </w:r>
          </w:p>
        </w:tc>
        <w:tc>
          <w:tcPr>
            <w:tcW w:type="dxa" w:w="2016"/>
            <w:shd w:val="clear" w:color="auto" w:fill="FBE1E0"/>
          </w:tcPr>
          <w:p>
            <w:r>
              <w:rPr>
                <w:b/>
                <w:i w:val="0"/>
                <w:color w:val="A12D2C"/>
                <w:sz w:val="16"/>
              </w:rPr>
              <w:t>−20 pts ✗</w:t>
            </w:r>
          </w:p>
        </w:tc>
      </w:tr>
    </w:tbl>
    <w:p>
      <w:pPr>
        <w:spacing w:after="40"/>
      </w:pPr>
      <w:r>
        <w:rPr>
          <w:b w:val="0"/>
          <w:i w:val="0"/>
          <w:color w:val="52514E"/>
          <w:sz w:val="14"/>
        </w:rPr>
        <w:t>Normal 3-day swing: about 2 times in 3 the 3-day change stays inside it (last 20 trading days). Calmer than most: the five highest chances of no big move. Forecast lean: the model's most likely 3-day outcome (rise above +1.04%, fall below −1.04%, otherwise no big move) and the probability it gave. Record vs simple rule: percentage points more (or fewer) of its calls on this stock that were right over the last 30 days than always guessing the stock's most common past outcome; ✓ no more than 5 points behind, ✗ further behind. Sorted calmest first.</w:t>
      </w:r>
    </w:p>
    <w:p>
      <w:pPr>
        <w:keepNext/>
        <w:spacing w:before="120" w:after="20"/>
      </w:pPr>
      <w:r>
        <w:rPr>
          <w:b/>
          <w:i w:val="0"/>
          <w:color w:val="1A2E55"/>
          <w:sz w:val="21"/>
        </w:rPr>
        <w:t>What these numbers are worth</w:t>
      </w:r>
    </w:p>
    <w:p>
      <w:pPr>
        <w:pStyle w:val="ListBullet"/>
        <w:spacing w:after="40"/>
      </w:pPr>
      <w:r>
        <w:rPr>
          <w:b/>
          <w:i w:val="0"/>
          <w:color w:val="1A2E55"/>
          <w:sz w:val="17"/>
        </w:rPr>
        <w:t xml:space="preserve">Normal 3-day swing. </w:t>
      </w:r>
      <w:r>
        <w:rPr>
          <w:b w:val="0"/>
          <w:i w:val="0"/>
          <w:sz w:val="17"/>
        </w:rPr>
        <w:t>Held 74% of the time in 420 tests (about 68% expected). Use it as a yardstick: a 3-day move bigger than a stock's swing is unusual for that stock and worth checking the news for; it is not a signal by itself.</w:t>
      </w:r>
    </w:p>
    <w:p>
      <w:pPr>
        <w:pStyle w:val="ListBullet"/>
        <w:spacing w:after="40"/>
      </w:pPr>
      <w:r>
        <w:rPr>
          <w:b/>
          <w:i w:val="0"/>
          <w:color w:val="1A2E55"/>
          <w:sz w:val="17"/>
        </w:rPr>
        <w:t xml:space="preserve">Calmer than most. </w:t>
      </w:r>
      <w:r>
        <w:rPr>
          <w:b w:val="0"/>
          <w:i w:val="0"/>
          <w:sz w:val="17"/>
        </w:rPr>
        <w:t>Raffles Medical Group, Sembcorp Industries, Mapletree Pan Asia Comm. Trust, Keppel Corp and Mapletree Industrial: the five with the highest chance of no big move. In tests over 31 trading days, the five picked this way moved more than 1% about 4 in 10 times, the other ten about 6 in 10 times. If you prefer less day-to-day movement, these have moved least often.</w:t>
      </w:r>
    </w:p>
    <w:p>
      <w:pPr>
        <w:pStyle w:val="ListBullet"/>
        <w:spacing w:after="40"/>
      </w:pPr>
      <w:r>
        <w:rPr>
          <w:b/>
          <w:i w:val="0"/>
          <w:color w:val="1A2E55"/>
          <w:sz w:val="17"/>
        </w:rPr>
        <w:t xml:space="preserve">Up-or-down lean. </w:t>
      </w:r>
      <w:r>
        <w:rPr>
          <w:b w:val="0"/>
          <w:i w:val="0"/>
          <w:sz w:val="17"/>
        </w:rPr>
        <w:t>Not reliable: right 40% of 270 past calls, against 54% for always guessing 'no big move'. Calls marked ✓ were right 46%, the rest 33%, but the gain is in 'no big move' calls (59% right); ✓ rise-or-fall calls were right only 22% of 46, so a ✓ never makes a direction likely. Before its probabilities were refitted, chances of 90% or more were right only 37% of the time. Today's chances run from 43% to 55%, so no stock stands out.</w:t>
      </w:r>
    </w:p>
    <w:p>
      <w:pPr>
        <w:keepNext/>
        <w:pageBreakBefore/>
        <w:spacing w:before="0" w:after="40"/>
        <w:pBdr>
          <w:bottom w:val="single" w:sz="6" w:space="2" w:color="CDE2FB"/>
        </w:pBdr>
      </w:pPr>
      <w:r>
        <w:rPr>
          <w:b/>
          <w:i w:val="0"/>
          <w:color w:val="1A2E55"/>
          <w:sz w:val="26"/>
        </w:rPr>
        <w:t>4 · The system behind this report</w:t>
      </w:r>
    </w:p>
    <w:p>
      <w:pPr>
        <w:keepNext/>
      </w:pPr>
      <w:r>
        <w:rPr>
          <w:b w:val="0"/>
          <w:i w:val="0"/>
          <w:color w:val="52514E"/>
          <w:sz w:val="17"/>
        </w:rPr>
        <w:t>Four stages run in sequence after every close. Every number on the pages above comes from one of them; nothing is written by hand.</w:t>
      </w:r>
    </w:p>
    <w:tbl>
      <w:tblPr>
        <w:tblW w:type="auto" w:w="0"/>
        <w:tblLook w:firstColumn="1" w:firstRow="1" w:lastColumn="0" w:lastRow="0" w:noHBand="0" w:noVBand="1" w:val="04A0"/>
        <w:tblBorders>
          <w:top w:val="single" w:sz="4" w:color="D9D8D3"/>
          <w:left w:val="nil" w:sz="4" w:color="D9D8D3"/>
          <w:bottom w:val="single" w:sz="4" w:color="D9D8D3"/>
          <w:right w:val="nil" w:sz="4" w:color="D9D8D3"/>
          <w:insideH w:val="single" w:sz="4" w:color="D9D8D3"/>
          <w:insideV w:val="nil" w:sz="4" w:color="D9D8D3"/>
        </w:tblBorders>
        <w:tblLayout w:type="fixed"/>
        <w:tblCellMar>
          <w:top w:w="35" w:type="dxa"/>
          <w:bottom w:w="35" w:type="dxa"/>
          <w:left w:w="70" w:type="dxa"/>
          <w:right w:w="70" w:type="dxa"/>
        </w:tblCellMar>
      </w:tblPr>
      <w:tblGrid>
        <w:gridCol w:w="1872"/>
        <w:gridCol w:w="8064"/>
      </w:tblGrid>
      <w:tr>
        <w:tc>
          <w:tcPr>
            <w:tcW w:type="dxa" w:w="1872"/>
            <w:shd w:val="clear" w:color="auto" w:fill="1A2E55"/>
          </w:tcPr>
          <w:p>
            <w:r>
              <w:rPr>
                <w:b/>
                <w:i w:val="0"/>
                <w:color w:val="FFFFFF"/>
                <w:sz w:val="15"/>
              </w:rPr>
              <w:t>Stage</w:t>
            </w:r>
          </w:p>
        </w:tc>
        <w:tc>
          <w:tcPr>
            <w:tcW w:type="dxa" w:w="8064"/>
            <w:shd w:val="clear" w:color="auto" w:fill="1A2E55"/>
          </w:tcPr>
          <w:p>
            <w:r>
              <w:rPr>
                <w:b/>
                <w:i w:val="0"/>
                <w:color w:val="FFFFFF"/>
                <w:sz w:val="15"/>
              </w:rPr>
              <w:t>What it does for this report</w:t>
            </w:r>
          </w:p>
        </w:tc>
      </w:tr>
      <w:tr>
        <w:tc>
          <w:tcPr>
            <w:tcW w:type="dxa" w:w="1872"/>
          </w:tcPr>
          <w:p>
            <w:r>
              <w:rPr>
                <w:b/>
                <w:i w:val="0"/>
                <w:sz w:val="16"/>
              </w:rPr>
              <w:t>1 · Collect the day's facts</w:t>
            </w:r>
          </w:p>
        </w:tc>
        <w:tc>
          <w:tcPr>
            <w:tcW w:type="dxa" w:w="8064"/>
          </w:tcPr>
          <w:p>
            <w:r>
              <w:rPr>
                <w:b w:val="0"/>
                <w:i w:val="0"/>
                <w:sz w:val="16"/>
              </w:rPr>
              <w:t>Today's raw facts. 521 company news articles (each read as positive, negative or neutral by FinBERT, a finance language model) and 72 political articles; price-chart indicators (RSI, MACD, Bollinger bands, VWAP, weekly trend); the market backdrop (VIX 14.7, US yield spread); Singapore ETF options positioning (put/call 1.43).</w:t>
            </w:r>
          </w:p>
        </w:tc>
      </w:tr>
      <w:tr>
        <w:tc>
          <w:tcPr>
            <w:tcW w:type="dxa" w:w="1872"/>
            <w:shd w:val="clear" w:color="auto" w:fill="F7F7F5"/>
          </w:tcPr>
          <w:p>
            <w:r>
              <w:rPr>
                <w:b/>
                <w:i w:val="0"/>
                <w:sz w:val="16"/>
              </w:rPr>
              <w:t>2 · Read the news and signals</w:t>
            </w:r>
          </w:p>
        </w:tc>
        <w:tc>
          <w:tcPr>
            <w:tcW w:type="dxa" w:w="8064"/>
            <w:shd w:val="clear" w:color="auto" w:fill="F7F7F5"/>
          </w:tcPr>
          <w:p>
            <w:r>
              <w:rPr>
                <w:b w:val="0"/>
                <w:i w:val="0"/>
                <w:sz w:val="16"/>
              </w:rPr>
              <w:t>What the news and indicators say on top of the price itself: one reading per stock (sections 1–2), built in four layers. (1) Weighted rules score the day's evidence — the scores and rules on the cards. (2) Two independent machine-learning models re-read the same inputs as a second opinion. (3) A contradiction check compares all layers and flags internally mixed readings (named on the cards when strongly mixed). (4) An AI writer (an open-source model served by Groq) drafts the news summary; it may only phrase what the rules computed, and a summary that fails the checks is replaced by a fixed template.</w:t>
            </w:r>
          </w:p>
        </w:tc>
      </w:tr>
      <w:tr>
        <w:tc>
          <w:tcPr>
            <w:tcW w:type="dxa" w:w="1872"/>
          </w:tcPr>
          <w:p>
            <w:r>
              <w:rPr>
                <w:b/>
                <w:i w:val="0"/>
                <w:sz w:val="16"/>
              </w:rPr>
              <w:t>3 · Forecast the next 3 days</w:t>
            </w:r>
          </w:p>
        </w:tc>
        <w:tc>
          <w:tcPr>
            <w:tcW w:type="dxa" w:w="8064"/>
          </w:tcPr>
          <w:p>
            <w:r>
              <w:rPr>
                <w:b w:val="0"/>
                <w:i w:val="0"/>
                <w:sz w:val="16"/>
              </w:rPr>
              <w:t>The 3-day forecast and chance for every stock (section 3). Three model families (logistic regression, random forest, XGBoost) are re-evaluated every week in a champion–challenger setup. A replay of that weekly choice under 15 settings moved accuracy only between 53.8% and 54.6% (0–4 switches), and the pooled winner led per stock on just 4 of 15: switching added churn, not accuracy. The serving model is therefore pinned (random forest) and the weekly evaluation is kept as monitoring. Each forecast carries its own per-stock record — the ✓ / ✗ column.</w:t>
            </w:r>
          </w:p>
        </w:tc>
      </w:tr>
      <w:tr>
        <w:tc>
          <w:tcPr>
            <w:tcW w:type="dxa" w:w="1872"/>
            <w:shd w:val="clear" w:color="auto" w:fill="F7F7F5"/>
          </w:tcPr>
          <w:p>
            <w:r>
              <w:rPr>
                <w:b/>
                <w:i w:val="0"/>
                <w:sz w:val="16"/>
              </w:rPr>
              <w:t>4 · Check and write the report</w:t>
            </w:r>
          </w:p>
        </w:tc>
        <w:tc>
          <w:tcPr>
            <w:tcW w:type="dxa" w:w="8064"/>
            <w:shd w:val="clear" w:color="auto" w:fill="F7F7F5"/>
          </w:tcPr>
          <w:p>
            <w:r>
              <w:rPr>
                <w:b w:val="0"/>
                <w:i w:val="0"/>
                <w:sz w:val="16"/>
              </w:rPr>
              <w:t>Sorts each stock into one of 11 patterns (below; shown on the cards and table in plain words as 'price vs news'), flags what deserves a closer look (⚑), picks the cards, and draws the day's market read: where the moves were, whether company news, the sector or the whole market moved with them, and what the backdrop and the forecast add. Every kind of statement carries its tested record (section 5). An AI writer, the same model as stage 2, rewrites the code-written market read in plainer words and drafts each card's 'In short' line. It may not write a single digit (code fills in every number), and a draft that breaks any rule — no advice, no targets, no claimed certainty, no number or stock it was not given, no rise word next to a fall, no claim that the news explains a move the report says it does not, no more than little weight on the forecast, no figure in words, no claim against the stored price facts — is replaced by the template text.</w:t>
            </w:r>
          </w:p>
        </w:tc>
      </w:tr>
    </w:tbl>
    <w:p>
      <w:pPr>
        <w:spacing w:after="40"/>
      </w:pPr>
      <w:r>
        <w:rPr>
          <w:b w:val="0"/>
          <w:i w:val="0"/>
          <w:color w:val="52514E"/>
          <w:sz w:val="15"/>
        </w:rPr>
        <w:t>This copy uses the template text throughout (no AI call was made). With an API key, the same model as stage 2 rewrites the market read and writes the 'In short' lines; numbers and tables are unchanged. In the project's documentation the four stages are Tasks 1–4, 5, 6 and 7.</w:t>
      </w:r>
    </w:p>
    <w:p>
      <w:pPr>
        <w:keepNext/>
        <w:spacing w:before="120" w:after="20"/>
      </w:pPr>
      <w:r>
        <w:rPr>
          <w:b/>
          <w:i w:val="0"/>
          <w:color w:val="1A2E55"/>
          <w:sz w:val="21"/>
        </w:rPr>
        <w:t>Today's patterns: how news, price and forecast line up</w:t>
      </w:r>
    </w:p>
    <w:tbl>
      <w:tblPr>
        <w:tblW w:type="auto" w:w="0"/>
        <w:tblLook w:firstColumn="1" w:firstRow="1" w:lastColumn="0" w:lastRow="0" w:noHBand="0" w:noVBand="1" w:val="04A0"/>
        <w:tblBorders>
          <w:top w:val="single" w:sz="4" w:color="D9D8D3"/>
          <w:left w:val="nil" w:sz="4" w:color="D9D8D3"/>
          <w:bottom w:val="single" w:sz="4" w:color="D9D8D3"/>
          <w:right w:val="nil" w:sz="4" w:color="D9D8D3"/>
          <w:insideH w:val="single" w:sz="4" w:color="D9D8D3"/>
          <w:insideV w:val="nil" w:sz="4" w:color="D9D8D3"/>
        </w:tblBorders>
        <w:tblLayout w:type="fixed"/>
        <w:tblCellMar>
          <w:top w:w="26" w:type="dxa"/>
          <w:bottom w:w="26" w:type="dxa"/>
          <w:left w:w="60" w:type="dxa"/>
          <w:right w:w="60" w:type="dxa"/>
        </w:tblCellMar>
      </w:tblPr>
      <w:tblGrid>
        <w:gridCol w:w="1800"/>
        <w:gridCol w:w="3312"/>
        <w:gridCol w:w="4824"/>
      </w:tblGrid>
      <w:tr>
        <w:tc>
          <w:tcPr>
            <w:tcW w:type="dxa" w:w="1800"/>
            <w:shd w:val="clear" w:color="auto" w:fill="1A2E55"/>
          </w:tcPr>
          <w:p>
            <w:r>
              <w:rPr>
                <w:b/>
                <w:i w:val="0"/>
                <w:color w:val="FFFFFF"/>
                <w:sz w:val="14"/>
              </w:rPr>
              <w:t>Pattern</w:t>
            </w:r>
          </w:p>
        </w:tc>
        <w:tc>
          <w:tcPr>
            <w:tcW w:type="dxa" w:w="3312"/>
            <w:shd w:val="clear" w:color="auto" w:fill="1A2E55"/>
          </w:tcPr>
          <w:p>
            <w:r>
              <w:rPr>
                <w:b/>
                <w:i w:val="0"/>
                <w:color w:val="FFFFFF"/>
                <w:sz w:val="14"/>
              </w:rPr>
              <w:t>Stocks today</w:t>
            </w:r>
          </w:p>
        </w:tc>
        <w:tc>
          <w:tcPr>
            <w:tcW w:type="dxa" w:w="4824"/>
            <w:shd w:val="clear" w:color="auto" w:fill="1A2E55"/>
          </w:tcPr>
          <w:p>
            <w:r>
              <w:rPr>
                <w:b/>
                <w:i w:val="0"/>
                <w:color w:val="FFFFFF"/>
                <w:sz w:val="14"/>
              </w:rPr>
              <w:t>Meaning</w:t>
            </w:r>
          </w:p>
        </w:tc>
      </w:tr>
      <w:tr>
        <w:tc>
          <w:tcPr>
            <w:tcW w:type="dxa" w:w="1800"/>
          </w:tcPr>
          <w:p>
            <w:r>
              <w:rPr>
                <w:b/>
                <w:i w:val="0"/>
                <w:sz w:val="15"/>
              </w:rPr>
              <w:t>Quiet (12)</w:t>
            </w:r>
          </w:p>
        </w:tc>
        <w:tc>
          <w:tcPr>
            <w:tcW w:type="dxa" w:w="3312"/>
          </w:tcPr>
          <w:p>
            <w:r>
              <w:rPr>
                <w:b w:val="0"/>
                <w:i w:val="0"/>
                <w:sz w:val="15"/>
              </w:rPr>
              <w:t>DBS Group, OCBC Bank, CapitaLand Integ. Comm. Trust, Mapletree Pan Asia Comm. Trust, Mapletree Industrial, Singtel, Keppel Corp, ST Engineering, Sembcorp Industries, Wilmar Intl, ComfortDelGro, Raffles Medical Group</w:t>
            </w:r>
          </w:p>
        </w:tc>
        <w:tc>
          <w:tcPr>
            <w:tcW w:type="dxa" w:w="4824"/>
          </w:tcPr>
          <w:p>
            <w:r>
              <w:rPr>
                <w:b w:val="0"/>
                <w:i w:val="0"/>
                <w:sz w:val="15"/>
              </w:rPr>
              <w:t>no directional signal today</w:t>
            </w:r>
          </w:p>
        </w:tc>
      </w:tr>
      <w:tr>
        <w:tc>
          <w:tcPr>
            <w:tcW w:type="dxa" w:w="1800"/>
            <w:shd w:val="clear" w:color="auto" w:fill="F7F7F5"/>
          </w:tcPr>
          <w:p>
            <w:r>
              <w:rPr>
                <w:b/>
                <w:i w:val="0"/>
                <w:sz w:val="15"/>
              </w:rPr>
              <w:t>Move complete (1)</w:t>
            </w:r>
          </w:p>
        </w:tc>
        <w:tc>
          <w:tcPr>
            <w:tcW w:type="dxa" w:w="3312"/>
            <w:shd w:val="clear" w:color="auto" w:fill="F7F7F5"/>
          </w:tcPr>
          <w:p>
            <w:r>
              <w:rPr>
                <w:b w:val="0"/>
                <w:i w:val="0"/>
                <w:sz w:val="15"/>
              </w:rPr>
              <w:t>UOB</w:t>
            </w:r>
          </w:p>
        </w:tc>
        <w:tc>
          <w:tcPr>
            <w:tcW w:type="dxa" w:w="4824"/>
            <w:shd w:val="clear" w:color="auto" w:fill="F7F7F5"/>
          </w:tcPr>
          <w:p>
            <w:r>
              <w:rPr>
                <w:b w:val="0"/>
                <w:i w:val="0"/>
                <w:sz w:val="15"/>
              </w:rPr>
              <w:t>the signals played out today; nothing further expected</w:t>
            </w:r>
          </w:p>
        </w:tc>
      </w:tr>
      <w:tr>
        <w:tc>
          <w:tcPr>
            <w:tcW w:type="dxa" w:w="1800"/>
          </w:tcPr>
          <w:p>
            <w:r>
              <w:rPr>
                <w:b/>
                <w:i w:val="0"/>
                <w:sz w:val="15"/>
              </w:rPr>
              <w:t>Noise (1)</w:t>
            </w:r>
          </w:p>
        </w:tc>
        <w:tc>
          <w:tcPr>
            <w:tcW w:type="dxa" w:w="3312"/>
          </w:tcPr>
          <w:p>
            <w:r>
              <w:rPr>
                <w:b w:val="0"/>
                <w:i w:val="0"/>
                <w:sz w:val="15"/>
              </w:rPr>
              <w:t>Ascendas REIT</w:t>
            </w:r>
          </w:p>
        </w:tc>
        <w:tc>
          <w:tcPr>
            <w:tcW w:type="dxa" w:w="4824"/>
          </w:tcPr>
          <w:p>
            <w:r>
              <w:rPr>
                <w:b w:val="0"/>
                <w:i w:val="0"/>
                <w:sz w:val="15"/>
              </w:rPr>
              <w:t>price went against the signals; the model has no clear view</w:t>
            </w:r>
          </w:p>
        </w:tc>
      </w:tr>
      <w:tr>
        <w:tc>
          <w:tcPr>
            <w:tcW w:type="dxa" w:w="1800"/>
            <w:shd w:val="clear" w:color="auto" w:fill="F7F7F5"/>
          </w:tcPr>
          <w:p>
            <w:r>
              <w:rPr>
                <w:b/>
                <w:i w:val="0"/>
                <w:sz w:val="15"/>
              </w:rPr>
              <w:t>Dormant (1)</w:t>
            </w:r>
          </w:p>
        </w:tc>
        <w:tc>
          <w:tcPr>
            <w:tcW w:type="dxa" w:w="3312"/>
            <w:shd w:val="clear" w:color="auto" w:fill="F7F7F5"/>
          </w:tcPr>
          <w:p>
            <w:r>
              <w:rPr>
                <w:b w:val="0"/>
                <w:i w:val="0"/>
                <w:sz w:val="15"/>
              </w:rPr>
              <w:t>SGX Group</w:t>
            </w:r>
          </w:p>
        </w:tc>
        <w:tc>
          <w:tcPr>
            <w:tcW w:type="dxa" w:w="4824"/>
            <w:shd w:val="clear" w:color="auto" w:fill="F7F7F5"/>
          </w:tcPr>
          <w:p>
            <w:r>
              <w:rPr>
                <w:b w:val="0"/>
                <w:i w:val="0"/>
                <w:sz w:val="15"/>
              </w:rPr>
              <w:t>a slight lean in the signals; neither price nor model followed</w:t>
            </w:r>
          </w:p>
        </w:tc>
      </w:tr>
    </w:tbl>
    <w:p>
      <w:pPr>
        <w:spacing w:after="40"/>
      </w:pPr>
      <w:r>
        <w:rPr>
          <w:b w:val="0"/>
          <w:i w:val="0"/>
          <w:color w:val="52514E"/>
          <w:sz w:val="15"/>
        </w:rPr>
        <w:t>The other patterns in the 11-pattern engine did not occur today; the full set is defined in the final report, Appendix C. The contradiction check rated 0 of 15 readings strongly mixed (named on the cards) and 15 mildly mixed today.</w:t>
      </w:r>
    </w:p>
    <w:p>
      <w:pPr>
        <w:keepNext/>
        <w:pageBreakBefore/>
        <w:spacing w:before="0" w:after="40"/>
        <w:pBdr>
          <w:bottom w:val="single" w:sz="6" w:space="2" w:color="CDE2FB"/>
        </w:pBdr>
      </w:pPr>
      <w:r>
        <w:rPr>
          <w:b/>
          <w:i w:val="0"/>
          <w:color w:val="1A2E55"/>
          <w:sz w:val="26"/>
        </w:rPr>
        <w:t>5 · What three months of testing show</w:t>
      </w:r>
    </w:p>
    <w:p>
      <w:pPr>
        <w:keepNext/>
      </w:pPr>
      <w:r>
        <w:rPr>
          <w:b w:val="0"/>
          <w:i w:val="0"/>
          <w:color w:val="52514E"/>
          <w:sz w:val="17"/>
        </w:rPr>
        <w:t>Each part of the system was tested on the project's stored data before it was allowed into this report. Results across all 15 stocks; forecast records count only outcomes known by the report date, research results are from the whole project:</w:t>
      </w:r>
    </w:p>
    <w:tbl>
      <w:tblPr>
        <w:tblW w:type="auto" w:w="0"/>
        <w:tblLook w:firstColumn="1" w:firstRow="1" w:lastColumn="0" w:lastRow="0" w:noHBand="0" w:noVBand="1" w:val="04A0"/>
        <w:tblBorders>
          <w:top w:val="single" w:sz="4" w:color="D9D8D3"/>
          <w:left w:val="nil" w:sz="4" w:color="D9D8D3"/>
          <w:bottom w:val="single" w:sz="4" w:color="D9D8D3"/>
          <w:right w:val="nil" w:sz="4" w:color="D9D8D3"/>
          <w:insideH w:val="single" w:sz="4" w:color="D9D8D3"/>
          <w:insideV w:val="nil" w:sz="4" w:color="D9D8D3"/>
        </w:tblBorders>
        <w:tblLayout w:type="fixed"/>
        <w:tblCellMar>
          <w:top w:w="18" w:type="dxa"/>
          <w:bottom w:w="18" w:type="dxa"/>
          <w:left w:w="50" w:type="dxa"/>
          <w:right w:w="50" w:type="dxa"/>
        </w:tblCellMar>
      </w:tblPr>
      <w:tblGrid>
        <w:gridCol w:w="1872"/>
        <w:gridCol w:w="4536"/>
        <w:gridCol w:w="1368"/>
        <w:gridCol w:w="2160"/>
      </w:tblGrid>
      <w:tr>
        <w:tc>
          <w:tcPr>
            <w:tcW w:type="dxa" w:w="1872"/>
            <w:shd w:val="clear" w:color="auto" w:fill="1A2E55"/>
          </w:tcPr>
          <w:p>
            <w:r>
              <w:rPr>
                <w:b/>
                <w:i w:val="0"/>
                <w:color w:val="FFFFFF"/>
                <w:sz w:val="13"/>
              </w:rPr>
              <w:t>What was tested</w:t>
            </w:r>
          </w:p>
        </w:tc>
        <w:tc>
          <w:tcPr>
            <w:tcW w:type="dxa" w:w="4536"/>
            <w:shd w:val="clear" w:color="auto" w:fill="1A2E55"/>
          </w:tcPr>
          <w:p>
            <w:r>
              <w:rPr>
                <w:b/>
                <w:i w:val="0"/>
                <w:color w:val="FFFFFF"/>
                <w:sz w:val="13"/>
              </w:rPr>
              <w:t>What we found</w:t>
            </w:r>
          </w:p>
        </w:tc>
        <w:tc>
          <w:tcPr>
            <w:tcW w:type="dxa" w:w="1368"/>
            <w:shd w:val="clear" w:color="auto" w:fill="1A2E55"/>
          </w:tcPr>
          <w:p>
            <w:r>
              <w:rPr>
                <w:b/>
                <w:i w:val="0"/>
                <w:color w:val="FFFFFF"/>
                <w:sz w:val="13"/>
              </w:rPr>
              <w:t>Verdict</w:t>
            </w:r>
          </w:p>
        </w:tc>
        <w:tc>
          <w:tcPr>
            <w:tcW w:type="dxa" w:w="2160"/>
            <w:shd w:val="clear" w:color="auto" w:fill="1A2E55"/>
          </w:tcPr>
          <w:p>
            <w:r>
              <w:rPr>
                <w:b/>
                <w:i w:val="0"/>
                <w:color w:val="FFFFFF"/>
                <w:sz w:val="13"/>
              </w:rPr>
              <w:t>What it means for you</w:t>
            </w:r>
          </w:p>
        </w:tc>
      </w:tr>
      <w:tr>
        <w:tc>
          <w:tcPr>
            <w:tcW w:type="dxa" w:w="1872"/>
          </w:tcPr>
          <w:p>
            <w:r>
              <w:rPr>
                <w:b/>
                <w:i w:val="0"/>
                <w:sz w:val="14"/>
              </w:rPr>
              <w:t>Can today's news and signals pick stocks?</w:t>
            </w:r>
          </w:p>
        </w:tc>
        <w:tc>
          <w:tcPr>
            <w:tcW w:type="dxa" w:w="4536"/>
          </w:tcPr>
          <w:p>
            <w:r>
              <w:rPr>
                <w:b w:val="0"/>
                <w:i w:val="0"/>
                <w:sz w:val="14"/>
              </w:rPr>
              <w:t>The ranking did not predict next-day returns against the other stocks (rank correlation -0.02 over 21 days).</w:t>
            </w:r>
          </w:p>
        </w:tc>
        <w:tc>
          <w:tcPr>
            <w:tcW w:type="dxa" w:w="1368"/>
            <w:shd w:val="clear" w:color="auto" w:fill="EFEEEA"/>
          </w:tcPr>
          <w:p>
            <w:r>
              <w:rPr>
                <w:b/>
                <w:i w:val="0"/>
                <w:color w:val="52514E"/>
                <w:sz w:val="14"/>
              </w:rPr>
              <w:t>○  Describes only</w:t>
            </w:r>
          </w:p>
        </w:tc>
        <w:tc>
          <w:tcPr>
            <w:tcW w:type="dxa" w:w="2160"/>
          </w:tcPr>
          <w:p>
            <w:r>
              <w:rPr>
                <w:b w:val="0"/>
                <w:i w:val="0"/>
                <w:sz w:val="14"/>
              </w:rPr>
              <w:t>Use it to understand the day, not to pick stocks</w:t>
            </w:r>
          </w:p>
        </w:tc>
      </w:tr>
      <w:tr>
        <w:tc>
          <w:tcPr>
            <w:tcW w:type="dxa" w:w="1872"/>
            <w:shd w:val="clear" w:color="auto" w:fill="F7F7F5"/>
          </w:tcPr>
          <w:p>
            <w:r>
              <w:rPr>
                <w:b/>
                <w:i w:val="0"/>
                <w:sz w:val="14"/>
              </w:rPr>
              <w:t>Was the news reading balanced?</w:t>
            </w:r>
          </w:p>
        </w:tc>
        <w:tc>
          <w:tcPr>
            <w:tcW w:type="dxa" w:w="4536"/>
            <w:shd w:val="clear" w:color="auto" w:fill="F7F7F5"/>
          </w:tcPr>
          <w:p>
            <w:r>
              <w:rPr>
                <w:b w:val="0"/>
                <w:i w:val="0"/>
                <w:sz w:val="14"/>
              </w:rPr>
              <w:t>An audit found one rule (company-event news) firing on 99.7% of readings, so readings leaned positive. Fixed on 21 Sep: positive readings 56% → 33%, with no loss of information.</w:t>
            </w:r>
          </w:p>
        </w:tc>
        <w:tc>
          <w:tcPr>
            <w:tcW w:type="dxa" w:w="1368"/>
            <w:shd w:val="clear" w:color="auto" w:fill="E4F3E4"/>
          </w:tcPr>
          <w:p>
            <w:r>
              <w:rPr>
                <w:b/>
                <w:i w:val="0"/>
                <w:color w:val="0A6E0A"/>
                <w:sz w:val="14"/>
              </w:rPr>
              <w:t>✓  Found and fixed</w:t>
            </w:r>
          </w:p>
        </w:tc>
        <w:tc>
          <w:tcPr>
            <w:tcW w:type="dxa" w:w="2160"/>
            <w:shd w:val="clear" w:color="auto" w:fill="F7F7F5"/>
          </w:tcPr>
          <w:p>
            <w:r>
              <w:rPr>
                <w:b w:val="0"/>
                <w:i w:val="0"/>
                <w:sz w:val="14"/>
              </w:rPr>
              <w:t>Readings are more balanced; negative ones stay rare</w:t>
            </w:r>
          </w:p>
        </w:tc>
      </w:tr>
      <w:tr>
        <w:tc>
          <w:tcPr>
            <w:tcW w:type="dxa" w:w="1872"/>
          </w:tcPr>
          <w:p>
            <w:r>
              <w:rPr>
                <w:b/>
                <w:i w:val="0"/>
                <w:sz w:val="14"/>
              </w:rPr>
              <w:t>Can the model forecast up or down?</w:t>
            </w:r>
          </w:p>
        </w:tc>
        <w:tc>
          <w:tcPr>
            <w:tcW w:type="dxa" w:w="4536"/>
          </w:tcPr>
          <w:p>
            <w:r>
              <w:rPr>
                <w:b w:val="0"/>
                <w:i w:val="0"/>
                <w:sz w:val="14"/>
              </w:rPr>
              <w:t>Live calls right 40% of 270 vs 54% for always 'no big move'. With honest probabilities, RandomForest, XGBoost and logistic regression all scored 53.3–54.0% vs 53.3%.</w:t>
            </w:r>
          </w:p>
        </w:tc>
        <w:tc>
          <w:tcPr>
            <w:tcW w:type="dxa" w:w="1368"/>
            <w:shd w:val="clear" w:color="auto" w:fill="FBE1E0"/>
          </w:tcPr>
          <w:p>
            <w:r>
              <w:rPr>
                <w:b/>
                <w:i w:val="0"/>
                <w:color w:val="A12D2C"/>
                <w:sz w:val="14"/>
              </w:rPr>
              <w:t>✗  Not reliable</w:t>
            </w:r>
          </w:p>
        </w:tc>
        <w:tc>
          <w:tcPr>
            <w:tcW w:type="dxa" w:w="2160"/>
          </w:tcPr>
          <w:p>
            <w:r>
              <w:rPr>
                <w:b w:val="0"/>
                <w:i w:val="0"/>
                <w:sz w:val="14"/>
              </w:rPr>
              <w:t>Three-day direction is not predictable from these inputs</w:t>
            </w:r>
          </w:p>
        </w:tc>
      </w:tr>
      <w:tr>
        <w:tc>
          <w:tcPr>
            <w:tcW w:type="dxa" w:w="1872"/>
            <w:shd w:val="clear" w:color="auto" w:fill="F7F7F5"/>
          </w:tcPr>
          <w:p>
            <w:r>
              <w:rPr>
                <w:b/>
                <w:i w:val="0"/>
                <w:sz w:val="14"/>
              </w:rPr>
              <w:t>Were its stated chances honest?</w:t>
            </w:r>
          </w:p>
        </w:tc>
        <w:tc>
          <w:tcPr>
            <w:tcW w:type="dxa" w:w="4536"/>
            <w:shd w:val="clear" w:color="auto" w:fill="F7F7F5"/>
          </w:tcPr>
          <w:p>
            <w:r>
              <w:rPr>
                <w:b w:val="0"/>
                <w:i w:val="0"/>
                <w:sz w:val="14"/>
              </w:rPr>
              <w:t>When the live model said 90% or more it was right 37% of the time (117 calls): its calibration had been fitted on its own training rows. Refitted out-of-fold, no model says 90%.</w:t>
            </w:r>
          </w:p>
        </w:tc>
        <w:tc>
          <w:tcPr>
            <w:tcW w:type="dxa" w:w="1368"/>
            <w:shd w:val="clear" w:color="auto" w:fill="FFF1D1"/>
          </w:tcPr>
          <w:p>
            <w:r>
              <w:rPr>
                <w:b/>
                <w:i w:val="0"/>
                <w:color w:val="8A5A00"/>
                <w:sz w:val="14"/>
              </w:rPr>
              <w:t>!  Found and fixed</w:t>
            </w:r>
          </w:p>
        </w:tc>
        <w:tc>
          <w:tcPr>
            <w:tcW w:type="dxa" w:w="2160"/>
            <w:shd w:val="clear" w:color="auto" w:fill="F7F7F5"/>
          </w:tcPr>
          <w:p>
            <w:r>
              <w:rPr>
                <w:b w:val="0"/>
                <w:i w:val="0"/>
                <w:sz w:val="14"/>
              </w:rPr>
              <w:t>Never read a high chance as near-certain</w:t>
            </w:r>
          </w:p>
        </w:tc>
      </w:tr>
      <w:tr>
        <w:tc>
          <w:tcPr>
            <w:tcW w:type="dxa" w:w="1872"/>
          </w:tcPr>
          <w:p>
            <w:r>
              <w:rPr>
                <w:b/>
                <w:i w:val="0"/>
                <w:sz w:val="14"/>
              </w:rPr>
              <w:t>Does marking weak forecasts help?</w:t>
            </w:r>
          </w:p>
        </w:tc>
        <w:tc>
          <w:tcPr>
            <w:tcW w:type="dxa" w:w="4536"/>
          </w:tcPr>
          <w:p>
            <w:r>
              <w:rPr>
                <w:b w:val="0"/>
                <w:i w:val="0"/>
                <w:sz w:val="14"/>
              </w:rPr>
              <w:t>✓ calls right 46%, others 33%; the gain is in 'no big move' calls (59%). ✓ rise-or-fall calls: 22% of 46.</w:t>
            </w:r>
          </w:p>
        </w:tc>
        <w:tc>
          <w:tcPr>
            <w:tcW w:type="dxa" w:w="1368"/>
            <w:shd w:val="clear" w:color="auto" w:fill="FFF1D1"/>
          </w:tcPr>
          <w:p>
            <w:r>
              <w:rPr>
                <w:b/>
                <w:i w:val="0"/>
                <w:color w:val="8A5A00"/>
                <w:sz w:val="14"/>
              </w:rPr>
              <w:t>!  For 'no big move' only</w:t>
            </w:r>
          </w:p>
        </w:tc>
        <w:tc>
          <w:tcPr>
            <w:tcW w:type="dxa" w:w="2160"/>
          </w:tcPr>
          <w:p>
            <w:r>
              <w:rPr>
                <w:b w:val="0"/>
                <w:i w:val="0"/>
                <w:sz w:val="14"/>
              </w:rPr>
              <w:t>Trust ✓ on 'no big move', never on a direction</w:t>
            </w:r>
          </w:p>
        </w:tc>
      </w:tr>
      <w:tr>
        <w:tc>
          <w:tcPr>
            <w:tcW w:type="dxa" w:w="1872"/>
            <w:shd w:val="clear" w:color="auto" w:fill="F7F7F5"/>
          </w:tcPr>
          <w:p>
            <w:r>
              <w:rPr>
                <w:b/>
                <w:i w:val="0"/>
                <w:sz w:val="14"/>
              </w:rPr>
              <w:t>Does switching models weekly help?</w:t>
            </w:r>
          </w:p>
        </w:tc>
        <w:tc>
          <w:tcPr>
            <w:tcW w:type="dxa" w:w="4536"/>
            <w:shd w:val="clear" w:color="auto" w:fill="F7F7F5"/>
          </w:tcPr>
          <w:p>
            <w:r>
              <w:rPr>
                <w:b w:val="0"/>
                <w:i w:val="0"/>
                <w:sz w:val="14"/>
              </w:rPr>
              <w:t>Replaying the weekly champion choice under 15 settings gave 53.8–54.6%: switching added churn, not accuracy.</w:t>
            </w:r>
          </w:p>
        </w:tc>
        <w:tc>
          <w:tcPr>
            <w:tcW w:type="dxa" w:w="1368"/>
            <w:shd w:val="clear" w:color="auto" w:fill="EFEEEA"/>
          </w:tcPr>
          <w:p>
            <w:r>
              <w:rPr>
                <w:b/>
                <w:i w:val="0"/>
                <w:color w:val="52514E"/>
                <w:sz w:val="14"/>
              </w:rPr>
              <w:t>○  No gain</w:t>
            </w:r>
          </w:p>
        </w:tc>
        <w:tc>
          <w:tcPr>
            <w:tcW w:type="dxa" w:w="2160"/>
            <w:shd w:val="clear" w:color="auto" w:fill="F7F7F5"/>
          </w:tcPr>
          <w:p>
            <w:r>
              <w:rPr>
                <w:b w:val="0"/>
                <w:i w:val="0"/>
                <w:sz w:val="14"/>
              </w:rPr>
              <w:t>One model (RandomForest) is kept fixed</w:t>
            </w:r>
          </w:p>
        </w:tc>
      </w:tr>
      <w:tr>
        <w:tc>
          <w:tcPr>
            <w:tcW w:type="dxa" w:w="1872"/>
          </w:tcPr>
          <w:p>
            <w:r>
              <w:rPr>
                <w:b/>
                <w:i w:val="0"/>
                <w:sz w:val="14"/>
              </w:rPr>
              <w:t>How much will a stock move?</w:t>
            </w:r>
          </w:p>
        </w:tc>
        <w:tc>
          <w:tcPr>
            <w:tcW w:type="dxa" w:w="4536"/>
          </w:tcPr>
          <w:p>
            <w:r>
              <w:rPr>
                <w:b w:val="0"/>
                <w:i w:val="0"/>
                <w:sz w:val="14"/>
              </w:rPr>
              <w:t>The normal 3-day swing held 74% of the time (420 tests; about 68% expected).</w:t>
            </w:r>
          </w:p>
        </w:tc>
        <w:tc>
          <w:tcPr>
            <w:tcW w:type="dxa" w:w="1368"/>
            <w:shd w:val="clear" w:color="auto" w:fill="E4F3E4"/>
          </w:tcPr>
          <w:p>
            <w:r>
              <w:rPr>
                <w:b/>
                <w:i w:val="0"/>
                <w:color w:val="0A6E0A"/>
                <w:sz w:val="14"/>
              </w:rPr>
              <w:t>✓  Reliable</w:t>
            </w:r>
          </w:p>
        </w:tc>
        <w:tc>
          <w:tcPr>
            <w:tcW w:type="dxa" w:w="2160"/>
          </w:tcPr>
          <w:p>
            <w:r>
              <w:rPr>
                <w:b w:val="0"/>
                <w:i w:val="0"/>
                <w:sz w:val="14"/>
              </w:rPr>
              <w:t>Judge whether a move is unusual for that stock</w:t>
            </w:r>
          </w:p>
        </w:tc>
      </w:tr>
      <w:tr>
        <w:tc>
          <w:tcPr>
            <w:tcW w:type="dxa" w:w="1872"/>
            <w:shd w:val="clear" w:color="auto" w:fill="F7F7F5"/>
          </w:tcPr>
          <w:p>
            <w:r>
              <w:rPr>
                <w:b/>
                <w:i w:val="0"/>
                <w:sz w:val="14"/>
              </w:rPr>
              <w:t>Which stocks will be calmer?</w:t>
            </w:r>
          </w:p>
        </w:tc>
        <w:tc>
          <w:tcPr>
            <w:tcW w:type="dxa" w:w="4536"/>
            <w:shd w:val="clear" w:color="auto" w:fill="F7F7F5"/>
          </w:tcPr>
          <w:p>
            <w:r>
              <w:rPr>
                <w:b w:val="0"/>
                <w:i w:val="0"/>
                <w:sz w:val="14"/>
              </w:rPr>
              <w:t>The five with the highest chance of no big move moved over 1% about 4 in 10 times, the others about 6 in 10 (31 test days). The rule was set after looking at the data.</w:t>
            </w:r>
          </w:p>
        </w:tc>
        <w:tc>
          <w:tcPr>
            <w:tcW w:type="dxa" w:w="1368"/>
            <w:shd w:val="clear" w:color="auto" w:fill="FFF1D1"/>
          </w:tcPr>
          <w:p>
            <w:r>
              <w:rPr>
                <w:b/>
                <w:i w:val="0"/>
                <w:color w:val="8A5A00"/>
                <w:sz w:val="14"/>
              </w:rPr>
              <w:t>!  Promising</w:t>
            </w:r>
          </w:p>
        </w:tc>
        <w:tc>
          <w:tcPr>
            <w:tcW w:type="dxa" w:w="2160"/>
            <w:shd w:val="clear" w:color="auto" w:fill="F7F7F5"/>
          </w:tcPr>
          <w:p>
            <w:r>
              <w:rPr>
                <w:b w:val="0"/>
                <w:i w:val="0"/>
                <w:sz w:val="14"/>
              </w:rPr>
              <w:t>A hint where less is likely to happen</w:t>
            </w:r>
          </w:p>
        </w:tc>
      </w:tr>
      <w:tr>
        <w:tc>
          <w:tcPr>
            <w:tcW w:type="dxa" w:w="1872"/>
          </w:tcPr>
          <w:p>
            <w:r>
              <w:rPr>
                <w:b/>
                <w:i w:val="0"/>
                <w:sz w:val="14"/>
              </w:rPr>
              <w:t>Does ⚑ mean a bigger move?</w:t>
            </w:r>
          </w:p>
        </w:tc>
        <w:tc>
          <w:tcPr>
            <w:tcW w:type="dxa" w:w="4536"/>
          </w:tcPr>
          <w:p>
            <w:r>
              <w:rPr>
                <w:b w:val="0"/>
                <w:i w:val="0"/>
                <w:sz w:val="14"/>
              </w:rPr>
              <w:t>No. Next 3 days: flagged stocks moved 1.2% on average, the rest 1.3% (17 flags, 18 dates).</w:t>
            </w:r>
          </w:p>
        </w:tc>
        <w:tc>
          <w:tcPr>
            <w:tcW w:type="dxa" w:w="1368"/>
            <w:shd w:val="clear" w:color="auto" w:fill="EFEEEA"/>
          </w:tcPr>
          <w:p>
            <w:r>
              <w:rPr>
                <w:b/>
                <w:i w:val="0"/>
                <w:color w:val="52514E"/>
                <w:sz w:val="14"/>
              </w:rPr>
              <w:t>○  Not a forecast</w:t>
            </w:r>
          </w:p>
        </w:tc>
        <w:tc>
          <w:tcPr>
            <w:tcW w:type="dxa" w:w="2160"/>
          </w:tcPr>
          <w:p>
            <w:r>
              <w:rPr>
                <w:b w:val="0"/>
                <w:i w:val="0"/>
                <w:sz w:val="14"/>
              </w:rPr>
              <w:t>⚑ means read the card first</w:t>
            </w:r>
          </w:p>
        </w:tc>
      </w:tr>
      <w:tr>
        <w:tc>
          <w:tcPr>
            <w:tcW w:type="dxa" w:w="1872"/>
            <w:shd w:val="clear" w:color="auto" w:fill="F7F7F5"/>
          </w:tcPr>
          <w:p>
            <w:r>
              <w:rPr>
                <w:b/>
                <w:i w:val="0"/>
                <w:sz w:val="14"/>
              </w:rPr>
              <w:t>What do seven years of prices say?</w:t>
            </w:r>
          </w:p>
        </w:tc>
        <w:tc>
          <w:tcPr>
            <w:tcW w:type="dxa" w:w="4536"/>
            <w:shd w:val="clear" w:color="auto" w:fill="F7F7F5"/>
          </w:tcPr>
          <w:p>
            <w:r>
              <w:rPr>
                <w:b w:val="0"/>
                <w:i w:val="0"/>
                <w:sz w:val="14"/>
              </w:rPr>
              <w:t>A stock that beat the other 14 on a day tended to lag slightly the next day, 2019-2025 (rank correlation +0.071, t 9.8), but by less than trading costs.</w:t>
            </w:r>
          </w:p>
        </w:tc>
        <w:tc>
          <w:tcPr>
            <w:tcW w:type="dxa" w:w="1368"/>
            <w:shd w:val="clear" w:color="auto" w:fill="EFEEEA"/>
          </w:tcPr>
          <w:p>
            <w:r>
              <w:rPr>
                <w:b/>
                <w:i w:val="0"/>
                <w:color w:val="52514E"/>
                <w:sz w:val="14"/>
              </w:rPr>
              <w:t>○  Real but small</w:t>
            </w:r>
          </w:p>
        </w:tc>
        <w:tc>
          <w:tcPr>
            <w:tcW w:type="dxa" w:w="2160"/>
            <w:shd w:val="clear" w:color="auto" w:fill="F7F7F5"/>
          </w:tcPr>
          <w:p>
            <w:r>
              <w:rPr>
                <w:b w:val="0"/>
                <w:i w:val="0"/>
                <w:sz w:val="14"/>
              </w:rPr>
              <w:t>Do not chase a one-day jump</w:t>
            </w:r>
          </w:p>
        </w:tc>
      </w:tr>
    </w:tbl>
    <w:p>
      <w:pPr>
        <w:keepNext/>
        <w:spacing w:before="120" w:after="20"/>
      </w:pPr>
      <w:r>
        <w:rPr>
          <w:b/>
          <w:i w:val="0"/>
          <w:color w:val="1A2E55"/>
          <w:sz w:val="21"/>
        </w:rPr>
        <w:t>Limitations</w:t>
      </w:r>
    </w:p>
    <w:p>
      <w:pPr>
        <w:pStyle w:val="ListBullet"/>
        <w:spacing w:after="40"/>
      </w:pPr>
      <w:r>
        <w:rPr>
          <w:b w:val="0"/>
          <w:i w:val="0"/>
          <w:sz w:val="15"/>
        </w:rPr>
        <w:t>About three months of data in one market phase: every rate above could change as more data arrives.</w:t>
      </w:r>
    </w:p>
    <w:p>
      <w:pPr>
        <w:pStyle w:val="ListBullet"/>
        <w:spacing w:after="40"/>
      </w:pPr>
      <w:r>
        <w:rPr>
          <w:b w:val="0"/>
          <w:i w:val="0"/>
          <w:sz w:val="15"/>
        </w:rPr>
        <w:t>News readings rarely turn negative: bearish rules fire less often and weigh less. No negative reading means no negative signal was found, not that there was no bad news.</w:t>
      </w:r>
    </w:p>
    <w:p>
      <w:pPr>
        <w:pStyle w:val="ListBullet"/>
        <w:spacing w:after="40"/>
      </w:pPr>
      <w:r>
        <w:rPr>
          <w:b w:val="0"/>
          <w:i w:val="0"/>
          <w:sz w:val="15"/>
        </w:rPr>
        <w:t>Free data: options data is one Singapore stock-market fund shared by all 15 stocks, and news publication times have not been checked against the report's cut-off.</w:t>
      </w:r>
    </w:p>
    <w:p>
      <w:pPr>
        <w:pStyle w:val="ListBullet"/>
        <w:spacing w:after="40"/>
      </w:pPr>
      <w:r>
        <w:rPr>
          <w:b w:val="0"/>
          <w:i w:val="0"/>
          <w:sz w:val="15"/>
        </w:rPr>
        <w:t>One political-news rule fires every day (it reads the classifier's confidence, not the tone), as does its counterweight; the two are summed and marked 'unreliable'.</w:t>
      </w:r>
    </w:p>
    <w:p>
      <w:pPr>
        <w:pStyle w:val="ListBullet"/>
        <w:spacing w:after="40"/>
      </w:pPr>
      <w:r>
        <w:rPr>
          <w:b w:val="0"/>
          <w:i w:val="0"/>
          <w:sz w:val="15"/>
        </w:rPr>
        <w:t>The news search often returns older articles, so only headlines from the last 30 days are shown; some stocks show none on a given day.</w:t>
      </w:r>
    </w:p>
    <w:p>
      <w:pPr>
        <w:keepNext/>
        <w:spacing w:before="120" w:after="20"/>
      </w:pPr>
      <w:r>
        <w:rPr>
          <w:b/>
          <w:i w:val="0"/>
          <w:color w:val="1A2E55"/>
          <w:sz w:val="21"/>
        </w:rPr>
        <w:t>Words used in this report</w:t>
      </w:r>
    </w:p>
    <w:tbl>
      <w:tblPr>
        <w:tblW w:type="auto" w:w="0"/>
        <w:tblLook w:firstColumn="1" w:firstRow="1" w:lastColumn="0" w:lastRow="0" w:noHBand="0" w:noVBand="1" w:val="04A0"/>
        <w:tblBorders>
          <w:top w:val="single" w:sz="4" w:color="D9D8D3"/>
          <w:left w:val="nil" w:sz="4" w:color="D9D8D3"/>
          <w:bottom w:val="single" w:sz="4" w:color="D9D8D3"/>
          <w:right w:val="nil" w:sz="4" w:color="D9D8D3"/>
          <w:insideH w:val="single" w:sz="4" w:color="D9D8D3"/>
          <w:insideV w:val="nil" w:sz="4" w:color="D9D8D3"/>
        </w:tblBorders>
        <w:tblLayout w:type="fixed"/>
        <w:tblCellMar>
          <w:top w:w="14" w:type="dxa"/>
          <w:bottom w:w="14" w:type="dxa"/>
          <w:left w:w="50" w:type="dxa"/>
          <w:right w:w="50" w:type="dxa"/>
        </w:tblCellMar>
      </w:tblPr>
      <w:tblGrid>
        <w:gridCol w:w="2160"/>
        <w:gridCol w:w="7776"/>
      </w:tblGrid>
      <w:tr>
        <w:tc>
          <w:tcPr>
            <w:tcW w:type="dxa" w:w="2160"/>
            <w:shd w:val="clear" w:color="auto" w:fill="1A2E55"/>
          </w:tcPr>
          <w:p>
            <w:r>
              <w:rPr>
                <w:b/>
                <w:i w:val="0"/>
                <w:color w:val="FFFFFF"/>
                <w:sz w:val="13"/>
              </w:rPr>
              <w:t>Word</w:t>
            </w:r>
          </w:p>
        </w:tc>
        <w:tc>
          <w:tcPr>
            <w:tcW w:type="dxa" w:w="7776"/>
            <w:shd w:val="clear" w:color="auto" w:fill="1A2E55"/>
          </w:tcPr>
          <w:p>
            <w:r>
              <w:rPr>
                <w:b/>
                <w:i w:val="0"/>
                <w:color w:val="FFFFFF"/>
                <w:sz w:val="13"/>
              </w:rPr>
              <w:t>Meaning</w:t>
            </w:r>
          </w:p>
        </w:tc>
      </w:tr>
      <w:tr>
        <w:tc>
          <w:tcPr>
            <w:tcW w:type="dxa" w:w="2160"/>
          </w:tcPr>
          <w:p>
            <w:r>
              <w:rPr>
                <w:b/>
                <w:i w:val="0"/>
                <w:sz w:val="14"/>
              </w:rPr>
              <w:t>News &amp; signals</w:t>
            </w:r>
          </w:p>
        </w:tc>
        <w:tc>
          <w:tcPr>
            <w:tcW w:type="dxa" w:w="7776"/>
          </w:tcPr>
          <w:p>
            <w:r>
              <w:rPr>
                <w:b w:val="0"/>
                <w:i w:val="0"/>
                <w:sz w:val="14"/>
              </w:rPr>
              <w:t>What today's news and indicators say on top of the price itself: positive, neutral or negative. It describes the day; the forecast is a separate model's job.</w:t>
            </w:r>
          </w:p>
        </w:tc>
      </w:tr>
      <w:tr>
        <w:tc>
          <w:tcPr>
            <w:tcW w:type="dxa" w:w="2160"/>
            <w:shd w:val="clear" w:color="auto" w:fill="F7F7F5"/>
          </w:tcPr>
          <w:p>
            <w:r>
              <w:rPr>
                <w:b/>
                <w:i w:val="0"/>
                <w:sz w:val="14"/>
              </w:rPr>
              <w:t>News today</w:t>
            </w:r>
          </w:p>
        </w:tc>
        <w:tc>
          <w:tcPr>
            <w:tcW w:type="dxa" w:w="7776"/>
            <w:shd w:val="clear" w:color="auto" w:fill="F7F7F5"/>
          </w:tcPr>
          <w:p>
            <w:r>
              <w:rPr>
                <w:b w:val="0"/>
                <w:i w:val="0"/>
                <w:sz w:val="14"/>
              </w:rPr>
              <w:t>The company articles collected on the day, each read as positive, negative or neutral by a finance language model (FinBERT). 'Mostly positive' means clearly more positive than negative articles.</w:t>
            </w:r>
          </w:p>
        </w:tc>
      </w:tr>
      <w:tr>
        <w:tc>
          <w:tcPr>
            <w:tcW w:type="dxa" w:w="2160"/>
          </w:tcPr>
          <w:p>
            <w:r>
              <w:rPr>
                <w:b/>
                <w:i w:val="0"/>
                <w:sz w:val="14"/>
              </w:rPr>
              <w:t>Normal day / big move</w:t>
            </w:r>
          </w:p>
        </w:tc>
        <w:tc>
          <w:tcPr>
            <w:tcW w:type="dxa" w:w="7776"/>
          </w:tcPr>
          <w:p>
            <w:r>
              <w:rPr>
                <w:b w:val="0"/>
                <w:i w:val="0"/>
                <w:sz w:val="14"/>
              </w:rPr>
              <w:t>A normal day: a one-day move within about ±0.6%, treated as the price not reacting. A big move (forecast): a three-day change beyond about ±1%. Both are half a standard deviation of past moves.</w:t>
            </w:r>
          </w:p>
        </w:tc>
      </w:tr>
      <w:tr>
        <w:tc>
          <w:tcPr>
            <w:tcW w:type="dxa" w:w="2160"/>
            <w:shd w:val="clear" w:color="auto" w:fill="F7F7F5"/>
          </w:tcPr>
          <w:p>
            <w:r>
              <w:rPr>
                <w:b/>
                <w:i w:val="0"/>
                <w:sz w:val="14"/>
              </w:rPr>
              <w:t>RSI</w:t>
            </w:r>
          </w:p>
        </w:tc>
        <w:tc>
          <w:tcPr>
            <w:tcW w:type="dxa" w:w="7776"/>
            <w:shd w:val="clear" w:color="auto" w:fill="F7F7F5"/>
          </w:tcPr>
          <w:p>
            <w:r>
              <w:rPr>
                <w:b w:val="0"/>
                <w:i w:val="0"/>
                <w:sz w:val="14"/>
              </w:rPr>
              <w:t>A 0-100 gauge of how fast the price has moved lately. Below 30 'oversold' (fell fast), above 70 'overbought' (rose fast).</w:t>
            </w:r>
          </w:p>
        </w:tc>
      </w:tr>
      <w:tr>
        <w:tc>
          <w:tcPr>
            <w:tcW w:type="dxa" w:w="2160"/>
          </w:tcPr>
          <w:p>
            <w:r>
              <w:rPr>
                <w:b/>
                <w:i w:val="0"/>
                <w:sz w:val="14"/>
              </w:rPr>
              <w:t>Average price (VWAP)</w:t>
            </w:r>
          </w:p>
        </w:tc>
        <w:tc>
          <w:tcPr>
            <w:tcW w:type="dxa" w:w="7776"/>
          </w:tcPr>
          <w:p>
            <w:r>
              <w:rPr>
                <w:b w:val="0"/>
                <w:i w:val="0"/>
                <w:sz w:val="14"/>
              </w:rPr>
              <w:t>The day's average price, weighted by how many shares traded at each price.</w:t>
            </w:r>
          </w:p>
        </w:tc>
      </w:tr>
      <w:tr>
        <w:tc>
          <w:tcPr>
            <w:tcW w:type="dxa" w:w="2160"/>
            <w:shd w:val="clear" w:color="auto" w:fill="F7F7F5"/>
          </w:tcPr>
          <w:p>
            <w:r>
              <w:rPr>
                <w:b/>
                <w:i w:val="0"/>
                <w:sz w:val="14"/>
              </w:rPr>
              <w:t>Usual range (Bollinger band)</w:t>
            </w:r>
          </w:p>
        </w:tc>
        <w:tc>
          <w:tcPr>
            <w:tcW w:type="dxa" w:w="7776"/>
            <w:shd w:val="clear" w:color="auto" w:fill="F7F7F5"/>
          </w:tcPr>
          <w:p>
            <w:r>
              <w:rPr>
                <w:b w:val="0"/>
                <w:i w:val="0"/>
                <w:sz w:val="14"/>
              </w:rPr>
              <w:t>The 20-day average price plus or minus two standard deviations; the price stays inside it on most days, so a close outside it is unusual.</w:t>
            </w:r>
          </w:p>
        </w:tc>
      </w:tr>
      <w:tr>
        <w:tc>
          <w:tcPr>
            <w:tcW w:type="dxa" w:w="2160"/>
          </w:tcPr>
          <w:p>
            <w:r>
              <w:rPr>
                <w:b/>
                <w:i w:val="0"/>
                <w:sz w:val="14"/>
              </w:rPr>
              <w:t>Trend turned (MACD)</w:t>
            </w:r>
          </w:p>
        </w:tc>
        <w:tc>
          <w:tcPr>
            <w:tcW w:type="dxa" w:w="7776"/>
          </w:tcPr>
          <w:p>
            <w:r>
              <w:rPr>
                <w:b w:val="0"/>
                <w:i w:val="0"/>
                <w:sz w:val="14"/>
              </w:rPr>
              <w:t>A short-term price average crossed a longer one.</w:t>
            </w:r>
          </w:p>
        </w:tc>
      </w:tr>
      <w:tr>
        <w:tc>
          <w:tcPr>
            <w:tcW w:type="dxa" w:w="2160"/>
            <w:shd w:val="clear" w:color="auto" w:fill="F7F7F5"/>
          </w:tcPr>
          <w:p>
            <w:r>
              <w:rPr>
                <w:b/>
                <w:i w:val="0"/>
                <w:sz w:val="14"/>
              </w:rPr>
              <w:t>Singapore ETF options</w:t>
            </w:r>
          </w:p>
        </w:tc>
        <w:tc>
          <w:tcPr>
            <w:tcW w:type="dxa" w:w="7776"/>
            <w:shd w:val="clear" w:color="auto" w:fill="F7F7F5"/>
          </w:tcPr>
          <w:p>
            <w:r>
              <w:rPr>
                <w:b w:val="0"/>
                <w:i w:val="0"/>
                <w:sz w:val="14"/>
              </w:rPr>
              <w:t>Bets traders place on a fund that tracks Singapore shares; more 'puts' means more people buying protection against a fall. The same for all 15 stocks.</w:t>
            </w:r>
          </w:p>
        </w:tc>
      </w:tr>
      <w:tr>
        <w:tc>
          <w:tcPr>
            <w:tcW w:type="dxa" w:w="2160"/>
          </w:tcPr>
          <w:p>
            <w:r>
              <w:rPr>
                <w:b/>
                <w:i w:val="0"/>
                <w:sz w:val="14"/>
              </w:rPr>
              <w:t>Normal 3-day swing</w:t>
            </w:r>
          </w:p>
        </w:tc>
        <w:tc>
          <w:tcPr>
            <w:tcW w:type="dxa" w:w="7776"/>
          </w:tcPr>
          <w:p>
            <w:r>
              <w:rPr>
                <w:b w:val="0"/>
                <w:i w:val="0"/>
                <w:sz w:val="14"/>
              </w:rPr>
              <w:t>How far the stock usually moves over three trading days (its recent daily volatility × √3); about 2 times in 3 the move stays inside it. A yardstick for whether a move is unusual.</w:t>
            </w:r>
          </w:p>
        </w:tc>
      </w:tr>
      <w:tr>
        <w:tc>
          <w:tcPr>
            <w:tcW w:type="dxa" w:w="2160"/>
            <w:shd w:val="clear" w:color="auto" w:fill="F7F7F5"/>
          </w:tcPr>
          <w:p>
            <w:r>
              <w:rPr>
                <w:b/>
                <w:i w:val="0"/>
                <w:sz w:val="14"/>
              </w:rPr>
              <w:t>Calmer than most</w:t>
            </w:r>
          </w:p>
        </w:tc>
        <w:tc>
          <w:tcPr>
            <w:tcW w:type="dxa" w:w="7776"/>
            <w:shd w:val="clear" w:color="auto" w:fill="F7F7F5"/>
          </w:tcPr>
          <w:p>
            <w:r>
              <w:rPr>
                <w:b w:val="0"/>
                <w:i w:val="0"/>
                <w:sz w:val="14"/>
              </w:rPr>
              <w:t>The five stocks with the highest chance of no big move in the forecast model's probabilities for the day.</w:t>
            </w:r>
          </w:p>
        </w:tc>
      </w:tr>
      <w:tr>
        <w:tc>
          <w:tcPr>
            <w:tcW w:type="dxa" w:w="2160"/>
          </w:tcPr>
          <w:p>
            <w:r>
              <w:rPr>
                <w:b/>
                <w:i w:val="0"/>
                <w:sz w:val="14"/>
              </w:rPr>
              <w:t>Forecast lean</w:t>
            </w:r>
          </w:p>
        </w:tc>
        <w:tc>
          <w:tcPr>
            <w:tcW w:type="dxa" w:w="7776"/>
          </w:tcPr>
          <w:p>
            <w:r>
              <w:rPr>
                <w:b w:val="0"/>
                <w:i w:val="0"/>
                <w:sz w:val="14"/>
              </w:rPr>
              <w:t>The forecast model's most likely outcome over the next three trading days: rise, fall or no big move, with the probability it gave. Probabilities are calibrated out-of-fold, so 50% means about half come true.</w:t>
            </w:r>
          </w:p>
        </w:tc>
      </w:tr>
      <w:tr>
        <w:tc>
          <w:tcPr>
            <w:tcW w:type="dxa" w:w="2160"/>
            <w:shd w:val="clear" w:color="auto" w:fill="F7F7F5"/>
          </w:tcPr>
          <w:p>
            <w:r>
              <w:rPr>
                <w:b/>
                <w:i w:val="0"/>
                <w:sz w:val="14"/>
              </w:rPr>
              <w:t>★  ⚑  ✓  ✗</w:t>
            </w:r>
          </w:p>
        </w:tc>
        <w:tc>
          <w:tcPr>
            <w:tcW w:type="dxa" w:w="7776"/>
            <w:shd w:val="clear" w:color="auto" w:fill="F7F7F5"/>
          </w:tcPr>
          <w:p>
            <w:r>
              <w:rPr>
                <w:b w:val="0"/>
                <w:i w:val="0"/>
                <w:sz w:val="14"/>
              </w:rPr>
              <w:t>★ more company-event news than usual. ⚑ worth a closer look: the price went against the news, or the news is silent while the model leans one way, and the model has a usable record on this stock. ✓ / ✗ the model's record on that stock is about as good as or better than / worse than always guessing its most common past outcome.</w:t>
            </w:r>
          </w:p>
        </w:tc>
      </w:tr>
    </w:tbl>
    <w:p>
      <w:pPr>
        <w:spacing w:after="40"/>
      </w:pPr>
      <w:r>
        <w:rPr>
          <w:b w:val="0"/>
          <w:i/>
          <w:color w:val="52514E"/>
          <w:sz w:val="14"/>
        </w:rPr>
        <w:t>General information about 15 listed companies, generated automatically from stored data. It is not financial advice or a recommendation to deal in any security, and it takes no account of your circumstances. Past patterns do not guarantee future results.</w:t>
      </w:r>
    </w:p>
    <w:sectPr w:rsidR="00FC693F" w:rsidRPr="0006063C" w:rsidSect="00034616">
      <w:footerReference w:type="default" r:id="rId9"/>
      <w:pgSz w:w="11906" w:h="16838"/>
      <w:pgMar w:top="850" w:right="1020" w:bottom="850" w:left="1020" w:header="720"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b w:val="0"/>
        <w:i w:val="0"/>
        <w:color w:val="898781"/>
        <w:sz w:val="15"/>
      </w:rPr>
      <w:t xml:space="preserve">SGX Daily Signal Report  ·  21 Sep 2026  ·  general information, not financial advice   ·   page </w:t>
    </w:r>
    <w:r>
      <w:rPr>
        <w:color w:val="898781"/>
        <w:sz w:val="15"/>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9" w:lineRule="auto"/>
    </w:pPr>
    <w:rPr>
      <w:rFonts w:ascii="Calibri" w:hAnsi="Calibri" w:eastAsia="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